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jc w:val="center"/>
        <w:rPr>
          <w:rFonts w:hint="eastAsia" w:ascii="方正小标宋简体" w:hAnsi="Times New Roman" w:eastAsia="方正小标宋简体" w:cs="仿宋_GB2312"/>
          <w:sz w:val="36"/>
          <w:szCs w:val="36"/>
        </w:rPr>
      </w:pPr>
    </w:p>
    <w:p>
      <w:pPr>
        <w:jc w:val="center"/>
        <w:rPr>
          <w:rFonts w:hint="eastAsia" w:ascii="方正小标宋简体" w:hAnsi="Times New Roman" w:eastAsia="方正小标宋简体"/>
          <w:sz w:val="36"/>
          <w:szCs w:val="36"/>
        </w:rPr>
      </w:pPr>
      <w:r>
        <w:rPr>
          <w:rFonts w:hint="eastAsia" w:ascii="方正小标宋简体" w:hAnsi="Times New Roman" w:eastAsia="方正小标宋简体" w:cs="仿宋_GB2312"/>
          <w:sz w:val="36"/>
          <w:szCs w:val="36"/>
        </w:rPr>
        <w:t>202</w:t>
      </w:r>
      <w:r>
        <w:rPr>
          <w:rFonts w:hint="eastAsia" w:ascii="方正小标宋简体" w:hAnsi="Times New Roman" w:eastAsia="方正小标宋简体" w:cs="仿宋_GB2312"/>
          <w:sz w:val="36"/>
          <w:szCs w:val="36"/>
          <w:lang w:val="en-US" w:eastAsia="zh-CN"/>
        </w:rPr>
        <w:t>6</w:t>
      </w:r>
      <w:r>
        <w:rPr>
          <w:rFonts w:hint="eastAsia" w:ascii="方正小标宋简体" w:hAnsi="Times New Roman" w:eastAsia="方正小标宋简体" w:cs="仿宋_GB2312"/>
          <w:sz w:val="36"/>
          <w:szCs w:val="36"/>
        </w:rPr>
        <w:t>年度江西省经济社会发展和生态文明建设专项课题选题指南</w:t>
      </w:r>
    </w:p>
    <w:p>
      <w:pPr>
        <w:spacing w:line="600" w:lineRule="exact"/>
        <w:ind w:firstLine="640" w:firstLineChars="20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本指南是课题研究方向和主要内容的基本要求，是组织课题研究、制定研究大纲及对研究成果进行评审验收的重要依据。</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bCs/>
          <w:sz w:val="32"/>
          <w:szCs w:val="32"/>
          <w:lang w:val="en-US" w:eastAsia="zh-CN"/>
        </w:rPr>
        <w:t>1.我省新兴支柱产业选择和发展对策研究</w:t>
      </w:r>
    </w:p>
    <w:p>
      <w:pPr>
        <w:pStyle w:val="2"/>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全面剖析新兴支柱产业的概念、类别与战略支撑作用；梳理国内外关于发展壮大新兴支柱产业的经验做法，深入分析各地的产业基础条件与新兴支柱选择、发展方式的内在关联；梳理我省新兴产业发展的现状，分析我省新兴支柱产业的发展空间与面临的难点挑战；结合国内外先进经验做法与省内实际，研判我省新兴支柱产业的发展方向，配套提出可操作性强的总体思路和政策举措建议，支撑构建体现江西特色和优势的现代化产业体系。</w:t>
      </w:r>
    </w:p>
    <w:p>
      <w:pPr>
        <w:pStyle w:val="2"/>
        <w:keepNext w:val="0"/>
        <w:keepLines w:val="0"/>
        <w:pageBreakBefore w:val="0"/>
        <w:widowControl w:val="0"/>
        <w:kinsoku/>
        <w:wordWrap/>
        <w:overflowPunct/>
        <w:topLinePunct/>
        <w:autoSpaceDE/>
        <w:autoSpaceDN/>
        <w:bidi w:val="0"/>
        <w:adjustRightInd/>
        <w:snapToGrid/>
        <w:spacing w:line="540" w:lineRule="exact"/>
        <w:ind w:firstLine="642"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2.数智赋能江西现代化产业体系</w:t>
      </w:r>
      <w:r>
        <w:rPr>
          <w:rFonts w:hint="eastAsia" w:ascii="宋体" w:hAnsi="宋体" w:cs="仿宋_GB2312"/>
          <w:b/>
          <w:bCs/>
          <w:sz w:val="32"/>
          <w:szCs w:val="32"/>
          <w:lang w:val="en-US" w:eastAsia="zh-CN"/>
        </w:rPr>
        <w:t>建设</w:t>
      </w:r>
      <w:r>
        <w:rPr>
          <w:rFonts w:hint="eastAsia" w:ascii="宋体" w:hAnsi="宋体" w:eastAsia="仿宋_GB2312" w:cs="仿宋_GB2312"/>
          <w:b/>
          <w:bCs/>
          <w:sz w:val="32"/>
          <w:szCs w:val="32"/>
          <w:lang w:val="en-US" w:eastAsia="zh-CN"/>
        </w:rPr>
        <w:t>的机制和路径研究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分析数智化技术对江西现有产业链供应链的作用，从提升效率、增强韧性、促进协同创新等方面揭示其内在机制，梳理江西在电子信息、有色金属、装备制造等</w:t>
      </w:r>
      <w:r>
        <w:rPr>
          <w:rFonts w:hint="eastAsia" w:ascii="宋体" w:hAnsi="宋体" w:eastAsia="宋体" w:cs="宋体"/>
          <w:lang w:val="en-US" w:eastAsia="zh-CN"/>
        </w:rPr>
        <w:t>“1269”</w:t>
      </w:r>
      <w:r>
        <w:rPr>
          <w:rFonts w:hint="eastAsia"/>
          <w:lang w:val="en-US" w:eastAsia="zh-CN"/>
        </w:rPr>
        <w:t>行动的重点产业领域数智化转型的现有成效与存在问题，提出具有针对性、可操作性的路径方案，以推动江西产业链供应链在数智化浪潮下实现高端化、智能化、绿色化发展，助力江西打造具有更强竞争力、创新力、抗风险能力的现代化产业体系，提升江西在全国乃至全球产业分工中的地位。</w:t>
      </w:r>
    </w:p>
    <w:p>
      <w:pPr>
        <w:pStyle w:val="2"/>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3.江西省“十五五”持续建设国家生态文明试验区 加快打造国家生态文明建设高地路径研究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全方位梳理当前我省国家生态文明试验区建设的现状成效，探究推动试验区建设创新发展中的要素支撑，紧密结合江西省发展需求与国家重大战略导向，研提“十五五”时期江西国家生态文明试验区建设成效的总体思路、重点任务，并细化前瞻性、系统性、可操作性的政策举措建议。</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4.健全江西养老服务收费政策 优化价格管理对策研究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梳理国家及江西养老服务领域现行收费管理政策实施成效及存在的问题，剖析问题成因，结合江西实际和新形势发展需要，研究提出适合江西省情的价格管理新思路、新方法，并针对性地提出优化政策的举措建议。</w:t>
      </w:r>
    </w:p>
    <w:p>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5.我省低空经济全产业链协同发展应用场景研究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全面评估江西低空经济资源禀赋、科技创新能力、基础设施、市场需求和政策环境等方面的优势与短板。深入剖析低空全产业链在技术、市场、资本、信息等要素的协同耦合关系，识别产业链联动的关键堵点。在结合江西所需、借鉴国内低空经济先行省份先进经验的基础上，设计构建低空物流、城市空中交通等核心应用场景，识别场景落地的“卡脖子”技术，明确技术攻关方向。研究提出促进低空经济产业链协同和场景创新的政策建议。</w:t>
      </w:r>
    </w:p>
    <w:p>
      <w:pPr>
        <w:pStyle w:val="2"/>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6.产能高位背景下农业新质生产力与粮食产能提升协同策略研究-以江西为例</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剖析农业新质生产力与粮食产能提升的理论逻辑，评估江西发展态势，基于</w:t>
      </w:r>
      <w:r>
        <w:rPr>
          <w:rFonts w:hint="eastAsia" w:ascii="宋体" w:hAnsi="宋体" w:eastAsia="宋体" w:cs="宋体"/>
          <w:lang w:val="en-US" w:eastAsia="zh-CN"/>
        </w:rPr>
        <w:t>11</w:t>
      </w:r>
      <w:r>
        <w:rPr>
          <w:rFonts w:hint="eastAsia"/>
          <w:lang w:val="en-US" w:eastAsia="zh-CN"/>
        </w:rPr>
        <w:t>地市面板数据测度协同效应。结合省情借鉴先进经验，识别制约短板，从种业、装备、数字化等维度提出产能高位背景下协同战略与技术攻关路径。</w:t>
      </w:r>
    </w:p>
    <w:p>
      <w:pPr>
        <w:pStyle w:val="2"/>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7.碳排放双控背景下中小型燃煤设施煤炭替代改造可行性分析研究</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lang w:val="en-US" w:eastAsia="zh-CN"/>
        </w:rPr>
        <w:t>梳理我省钢铁、水泥、造纸、建材等行业正在使用的燃煤设施，针对性提出清洁能源转型路径，摸清“十五五”时期燃煤清洁替代潜力。</w:t>
      </w:r>
    </w:p>
    <w:p>
      <w:pPr>
        <w:pStyle w:val="2"/>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b/>
          <w:bCs/>
          <w:sz w:val="32"/>
          <w:szCs w:val="32"/>
          <w:lang w:val="en-US" w:eastAsia="zh-CN"/>
        </w:rPr>
        <w:t>8.“十五五”江西深化生态产品价值实现促进绿色消费增长的路径与机制研究</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梳理“十四五”江西绿色消费增长现状与问题；分析江西绿色消费增长关键因素、主要特征、主要模式；总结国内生态产品价值实现促进绿色消费增长的先进经验与典型案例；分析生态产品核算评估、生态资产交易、生态补偿、生态产业培育、生态品牌溢价、VEP融资等核心环节促进绿色消费增长的机制；提出“十五五”江西深化生态产品价值实现促进绿色消费增长的路径与对策建议。</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27E2D"/>
    <w:rsid w:val="003A0474"/>
    <w:rsid w:val="01DC7BA4"/>
    <w:rsid w:val="04043036"/>
    <w:rsid w:val="064C62D4"/>
    <w:rsid w:val="0EFF42F4"/>
    <w:rsid w:val="1BD27E2D"/>
    <w:rsid w:val="1ED21885"/>
    <w:rsid w:val="39552229"/>
    <w:rsid w:val="3F7FB208"/>
    <w:rsid w:val="3FD7954D"/>
    <w:rsid w:val="4027737A"/>
    <w:rsid w:val="44540DBC"/>
    <w:rsid w:val="4672249C"/>
    <w:rsid w:val="47D5518B"/>
    <w:rsid w:val="4ADC66F6"/>
    <w:rsid w:val="4BFE0F49"/>
    <w:rsid w:val="503F616F"/>
    <w:rsid w:val="5D5DC255"/>
    <w:rsid w:val="5FF37FB5"/>
    <w:rsid w:val="669C5D2F"/>
    <w:rsid w:val="6D6E273A"/>
    <w:rsid w:val="6E7AA489"/>
    <w:rsid w:val="6EFCA930"/>
    <w:rsid w:val="6F9FD82C"/>
    <w:rsid w:val="6FB10399"/>
    <w:rsid w:val="6FBEE376"/>
    <w:rsid w:val="750D0E61"/>
    <w:rsid w:val="755DCED8"/>
    <w:rsid w:val="75EFE583"/>
    <w:rsid w:val="7B770D0F"/>
    <w:rsid w:val="7BFEE1BE"/>
    <w:rsid w:val="7D0D7696"/>
    <w:rsid w:val="7DFDDDC3"/>
    <w:rsid w:val="7EFF0E67"/>
    <w:rsid w:val="7FFBC0BC"/>
    <w:rsid w:val="7FFD0D1C"/>
    <w:rsid w:val="7FFEDE1F"/>
    <w:rsid w:val="8EBEA280"/>
    <w:rsid w:val="BFFA16AD"/>
    <w:rsid w:val="C39FCD35"/>
    <w:rsid w:val="DF6F4B2B"/>
    <w:rsid w:val="F5777FA4"/>
    <w:rsid w:val="F79CF4CD"/>
    <w:rsid w:val="FBDFE3ED"/>
    <w:rsid w:val="FD7F2508"/>
    <w:rsid w:val="FFAFC763"/>
    <w:rsid w:val="FFBFEDA4"/>
    <w:rsid w:val="FFEEF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仿宋_GB2312" w:cs="宋体"/>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next w:val="2"/>
    <w:qFormat/>
    <w:uiPriority w:val="99"/>
    <w:pPr>
      <w:spacing w:after="0" w:line="500" w:lineRule="exact"/>
      <w:ind w:firstLine="420"/>
    </w:pPr>
    <w:rPr>
      <w:rFonts w:ascii="Times New Roman" w:hAnsi="Times New Roman" w:eastAsia="楷体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2021-07-24T17:26:00Z</dcterms:created>
  <dc:creator>Mussessen</dc:creator>
  <cp:lastModifiedBy>银秋</cp:lastModifiedBy>
  <cp:lastPrinted>2024-04-15T00:29:00Z</cp:lastPrinted>
  <dcterms:modified xsi:type="dcterms:W3CDTF">2026-05-06T17:09:32Z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B4F41DB7B2F94E61AD822C17667503E7</vt:lpwstr>
  </property>
</Properties>
</file>