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AA75F">
      <w:pPr>
        <w:keepNext w:val="0"/>
        <w:keepLines w:val="0"/>
        <w:pageBreakBefore w:val="0"/>
        <w:widowControl w:val="0"/>
        <w:kinsoku/>
        <w:wordWrap/>
        <w:overflowPunct/>
        <w:topLinePunct w:val="0"/>
        <w:autoSpaceDE/>
        <w:autoSpaceDN/>
        <w:bidi w:val="0"/>
        <w:adjustRightInd/>
        <w:snapToGrid/>
        <w:spacing w:afterLines="0" w:line="600" w:lineRule="exact"/>
        <w:jc w:val="left"/>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附件2</w:t>
      </w:r>
    </w:p>
    <w:p w14:paraId="57DA2243">
      <w:pPr>
        <w:keepNext w:val="0"/>
        <w:keepLines w:val="0"/>
        <w:pageBreakBefore w:val="0"/>
        <w:widowControl w:val="0"/>
        <w:kinsoku/>
        <w:wordWrap/>
        <w:overflowPunct/>
        <w:topLinePunct w:val="0"/>
        <w:autoSpaceDE/>
        <w:autoSpaceDN/>
        <w:bidi w:val="0"/>
        <w:adjustRightInd/>
        <w:snapToGrid/>
        <w:spacing w:afterLines="0" w:line="600" w:lineRule="exact"/>
        <w:jc w:val="center"/>
        <w:textAlignment w:val="auto"/>
        <w:rPr>
          <w:rFonts w:hint="default" w:ascii="Times New Roman" w:hAnsi="Times New Roman" w:eastAsia="黑体" w:cs="Times New Roman"/>
          <w:b w:val="0"/>
          <w:bCs w:val="0"/>
          <w:color w:val="auto"/>
          <w:sz w:val="32"/>
          <w:szCs w:val="32"/>
          <w:lang w:val="en-US" w:eastAsia="zh-CN"/>
        </w:rPr>
      </w:pPr>
    </w:p>
    <w:p w14:paraId="67854DC6">
      <w:pPr>
        <w:pStyle w:val="4"/>
        <w:keepNext w:val="0"/>
        <w:keepLines w:val="0"/>
        <w:pageBreakBefore w:val="0"/>
        <w:widowControl w:val="0"/>
        <w:kinsoku/>
        <w:wordWrap/>
        <w:overflowPunct/>
        <w:topLinePunct w:val="0"/>
        <w:autoSpaceDE/>
        <w:autoSpaceDN/>
        <w:bidi w:val="0"/>
        <w:adjustRightInd/>
        <w:snapToGrid/>
        <w:spacing w:afterLines="0" w:line="600" w:lineRule="exact"/>
        <w:jc w:val="center"/>
        <w:textAlignment w:val="auto"/>
        <w:rPr>
          <w:rFonts w:hint="default" w:ascii="Times New Roman" w:hAnsi="Times New Roman" w:eastAsia="方正小标宋简体" w:cs="Times New Roman"/>
          <w:lang w:val="en-US" w:eastAsia="zh-CN"/>
        </w:rPr>
      </w:pPr>
      <w:r>
        <w:rPr>
          <w:rFonts w:hint="eastAsia" w:eastAsia="方正小标宋简体" w:cs="Times New Roman"/>
          <w:b w:val="0"/>
          <w:bCs/>
          <w:color w:val="auto"/>
          <w:sz w:val="44"/>
          <w:szCs w:val="44"/>
          <w:lang w:val="en-US" w:eastAsia="zh-CN"/>
        </w:rPr>
        <w:t>2024</w:t>
      </w:r>
      <w:r>
        <w:rPr>
          <w:rFonts w:hint="default" w:ascii="Times New Roman" w:hAnsi="Times New Roman" w:eastAsia="方正小标宋简体" w:cs="Times New Roman"/>
          <w:b w:val="0"/>
          <w:bCs/>
          <w:color w:val="auto"/>
          <w:sz w:val="44"/>
          <w:szCs w:val="44"/>
        </w:rPr>
        <w:t>年度</w:t>
      </w:r>
      <w:r>
        <w:rPr>
          <w:rFonts w:hint="default" w:ascii="Times New Roman" w:hAnsi="Times New Roman" w:eastAsia="方正小标宋简体" w:cs="Times New Roman"/>
          <w:b w:val="0"/>
          <w:bCs/>
          <w:color w:val="auto"/>
          <w:sz w:val="44"/>
          <w:szCs w:val="44"/>
          <w:lang w:val="en-US" w:eastAsia="zh-CN"/>
        </w:rPr>
        <w:t>“2030先锋工程”专项项目</w:t>
      </w:r>
      <w:r>
        <w:rPr>
          <w:rFonts w:hint="default" w:ascii="Times New Roman" w:hAnsi="Times New Roman" w:eastAsia="方正小标宋简体" w:cs="Times New Roman"/>
          <w:b w:val="0"/>
          <w:bCs/>
          <w:color w:val="auto"/>
          <w:sz w:val="44"/>
          <w:szCs w:val="44"/>
        </w:rPr>
        <w:t>申报</w:t>
      </w:r>
      <w:r>
        <w:rPr>
          <w:rFonts w:hint="default" w:ascii="Times New Roman" w:hAnsi="Times New Roman" w:eastAsia="方正小标宋简体" w:cs="Times New Roman"/>
          <w:b w:val="0"/>
          <w:bCs/>
          <w:color w:val="auto"/>
          <w:sz w:val="44"/>
          <w:szCs w:val="44"/>
          <w:lang w:val="en-US" w:eastAsia="zh-CN"/>
        </w:rPr>
        <w:t>指南</w:t>
      </w:r>
    </w:p>
    <w:p w14:paraId="50450E3B">
      <w:pPr>
        <w:pStyle w:val="2"/>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Times New Roman" w:hAnsi="Times New Roman" w:eastAsia="楷体_GB2312" w:cs="Times New Roman"/>
          <w:sz w:val="32"/>
          <w:szCs w:val="32"/>
          <w:lang w:val="en-US" w:eastAsia="zh-CN"/>
        </w:rPr>
      </w:pPr>
    </w:p>
    <w:p w14:paraId="646C0C4B">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sz w:val="32"/>
          <w:szCs w:val="32"/>
          <w:lang w:val="en-US" w:eastAsia="zh-CN"/>
        </w:rPr>
        <w:t>高端润滑及液冷绝缘材料关键技术中试研究</w:t>
      </w:r>
      <w:r>
        <w:rPr>
          <w:rFonts w:hint="default" w:ascii="Times New Roman" w:hAnsi="Times New Roman" w:eastAsia="黑体" w:cs="Times New Roman"/>
          <w:kern w:val="2"/>
          <w:sz w:val="32"/>
          <w:szCs w:val="32"/>
          <w:lang w:val="en-US" w:eastAsia="zh-CN" w:bidi="ar-SA"/>
        </w:rPr>
        <w:t>”专项</w:t>
      </w:r>
      <w:r>
        <w:rPr>
          <w:rFonts w:hint="eastAsia" w:ascii="Times New Roman" w:hAnsi="Times New Roman" w:eastAsia="黑体" w:cs="Times New Roman"/>
          <w:kern w:val="2"/>
          <w:sz w:val="32"/>
          <w:szCs w:val="32"/>
          <w:lang w:val="en-US" w:eastAsia="zh-CN" w:bidi="ar-SA"/>
        </w:rPr>
        <w:t>申报指南</w:t>
      </w:r>
    </w:p>
    <w:p w14:paraId="565ED747">
      <w:pPr>
        <w:pStyle w:val="2"/>
        <w:keepNext w:val="0"/>
        <w:keepLines w:val="0"/>
        <w:pageBreakBefore w:val="0"/>
        <w:widowControl w:val="0"/>
        <w:kinsoku/>
        <w:wordWrap/>
        <w:overflowPunct/>
        <w:topLinePunct w:val="0"/>
        <w:autoSpaceDE/>
        <w:autoSpaceDN/>
        <w:bidi w:val="0"/>
        <w:spacing w:after="0" w:line="600" w:lineRule="exact"/>
        <w:ind w:firstLine="643" w:firstLineChars="200"/>
        <w:jc w:val="both"/>
        <w:textAlignment w:val="auto"/>
        <w:outlineLvl w:val="9"/>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指南名称：POE原料合成酸的研究与开发</w:t>
      </w:r>
    </w:p>
    <w:p w14:paraId="74FFC5E4">
      <w:pPr>
        <w:pStyle w:val="3"/>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rPr>
        <w:t>研究内容：</w:t>
      </w:r>
      <w:r>
        <w:rPr>
          <w:rFonts w:hint="default" w:ascii="Times New Roman" w:hAnsi="Times New Roman" w:eastAsia="仿宋_GB2312" w:cs="Times New Roman"/>
          <w:sz w:val="32"/>
          <w:szCs w:val="32"/>
        </w:rPr>
        <w:t>针对高碳烯烃氢甲酰化铑催化体系技术难题，开展</w:t>
      </w:r>
      <w:r>
        <w:rPr>
          <w:rFonts w:hint="default" w:ascii="Times New Roman" w:hAnsi="Times New Roman" w:eastAsia="仿宋_GB2312" w:cs="Times New Roman"/>
          <w:sz w:val="32"/>
          <w:szCs w:val="32"/>
          <w:lang w:eastAsia="zh-CN"/>
        </w:rPr>
        <w:t>新型</w:t>
      </w:r>
      <w:r>
        <w:rPr>
          <w:rFonts w:hint="default" w:ascii="Times New Roman" w:hAnsi="Times New Roman" w:eastAsia="仿宋_GB2312" w:cs="Times New Roman"/>
          <w:sz w:val="32"/>
          <w:szCs w:val="32"/>
        </w:rPr>
        <w:t>铑催化体系合成高碳酸工艺研究，重点完成新结构多元醇酯</w:t>
      </w:r>
      <w:r>
        <w:rPr>
          <w:rFonts w:hint="eastAsia" w:ascii="仿宋_GB2312" w:hAnsi="仿宋_GB2312" w:eastAsia="仿宋_GB2312" w:cs="仿宋_GB2312"/>
          <w:sz w:val="32"/>
          <w:szCs w:val="32"/>
        </w:rPr>
        <w:t>类（POE）液冷材料亟需原料庚酸及壬酸合成工艺，开发出己烯、辛烯等高碳烯烃氢甲酰化生产</w:t>
      </w:r>
      <w:r>
        <w:rPr>
          <w:rFonts w:hint="eastAsia" w:ascii="仿宋_GB2312" w:hAnsi="仿宋_GB2312" w:eastAsia="仿宋_GB2312" w:cs="仿宋_GB2312"/>
          <w:sz w:val="32"/>
          <w:szCs w:val="32"/>
          <w:lang w:eastAsia="zh-CN"/>
        </w:rPr>
        <w:t>正</w:t>
      </w:r>
      <w:r>
        <w:rPr>
          <w:rFonts w:hint="eastAsia" w:ascii="仿宋_GB2312" w:hAnsi="仿宋_GB2312" w:eastAsia="仿宋_GB2312" w:cs="仿宋_GB2312"/>
          <w:sz w:val="32"/>
          <w:szCs w:val="32"/>
        </w:rPr>
        <w:t>庚酸、</w:t>
      </w:r>
      <w:r>
        <w:rPr>
          <w:rFonts w:hint="eastAsia" w:ascii="仿宋_GB2312" w:hAnsi="仿宋_GB2312" w:eastAsia="仿宋_GB2312" w:cs="仿宋_GB2312"/>
          <w:sz w:val="32"/>
          <w:szCs w:val="32"/>
          <w:lang w:eastAsia="zh-CN"/>
        </w:rPr>
        <w:t>正</w:t>
      </w:r>
      <w:r>
        <w:rPr>
          <w:rFonts w:hint="eastAsia" w:ascii="仿宋_GB2312" w:hAnsi="仿宋_GB2312" w:eastAsia="仿宋_GB2312" w:cs="仿宋_GB2312"/>
          <w:sz w:val="32"/>
          <w:szCs w:val="32"/>
        </w:rPr>
        <w:t>壬酸工艺技术，建成万吨级/年中试示范线；并完成</w:t>
      </w:r>
      <w:r>
        <w:rPr>
          <w:rFonts w:hint="eastAsia" w:ascii="仿宋_GB2312" w:hAnsi="仿宋_GB2312" w:eastAsia="仿宋_GB2312" w:cs="仿宋_GB2312"/>
          <w:sz w:val="32"/>
          <w:szCs w:val="32"/>
          <w:lang w:eastAsia="zh-CN"/>
        </w:rPr>
        <w:t>正</w:t>
      </w:r>
      <w:r>
        <w:rPr>
          <w:rFonts w:hint="eastAsia" w:ascii="仿宋_GB2312" w:hAnsi="仿宋_GB2312" w:eastAsia="仿宋_GB2312" w:cs="仿宋_GB2312"/>
          <w:sz w:val="32"/>
          <w:szCs w:val="32"/>
        </w:rPr>
        <w:t>庚酸及</w:t>
      </w:r>
      <w:r>
        <w:rPr>
          <w:rFonts w:hint="eastAsia" w:ascii="仿宋_GB2312" w:hAnsi="仿宋_GB2312" w:eastAsia="仿宋_GB2312" w:cs="仿宋_GB2312"/>
          <w:sz w:val="32"/>
          <w:szCs w:val="32"/>
          <w:lang w:eastAsia="zh-CN"/>
        </w:rPr>
        <w:t>正</w:t>
      </w:r>
      <w:r>
        <w:rPr>
          <w:rFonts w:hint="eastAsia" w:ascii="仿宋_GB2312" w:hAnsi="仿宋_GB2312" w:eastAsia="仿宋_GB2312" w:cs="仿宋_GB2312"/>
          <w:sz w:val="32"/>
          <w:szCs w:val="32"/>
        </w:rPr>
        <w:t>壬酸在POE液冷材料中应用验证</w:t>
      </w:r>
      <w:r>
        <w:rPr>
          <w:rFonts w:hint="eastAsia" w:ascii="仿宋_GB2312" w:hAnsi="仿宋_GB2312" w:eastAsia="仿宋_GB2312" w:cs="仿宋_GB2312"/>
          <w:sz w:val="32"/>
          <w:szCs w:val="32"/>
          <w:lang w:bidi="ar"/>
        </w:rPr>
        <w:t>。</w:t>
      </w:r>
    </w:p>
    <w:p w14:paraId="4D5FEDD4">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考核指标：</w:t>
      </w:r>
      <w:r>
        <w:rPr>
          <w:rFonts w:hint="eastAsia" w:ascii="仿宋_GB2312" w:hAnsi="仿宋_GB2312" w:eastAsia="仿宋_GB2312" w:cs="仿宋_GB2312"/>
          <w:sz w:val="32"/>
          <w:szCs w:val="32"/>
        </w:rPr>
        <w:t>正庚酸产品纯度≥9</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%，正壬酸产品纯度≥99.0%；目标产物收率均≥90.0%；</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型铑催化体系：①单次转化率≥80.0%；②选择性≥90.0%；③烯烃转位≤5.0%；在江西省内建设完成1万吨/年中试示范线，产品达标达产；制定</w:t>
      </w:r>
      <w:r>
        <w:rPr>
          <w:rFonts w:hint="eastAsia" w:ascii="仿宋_GB2312" w:hAnsi="仿宋_GB2312" w:eastAsia="仿宋_GB2312" w:cs="仿宋_GB2312"/>
          <w:sz w:val="32"/>
          <w:szCs w:val="32"/>
          <w:lang w:eastAsia="zh-CN"/>
        </w:rPr>
        <w:t>正</w:t>
      </w:r>
      <w:r>
        <w:rPr>
          <w:rFonts w:hint="eastAsia" w:ascii="仿宋_GB2312" w:hAnsi="仿宋_GB2312" w:eastAsia="仿宋_GB2312" w:cs="仿宋_GB2312"/>
          <w:sz w:val="32"/>
          <w:szCs w:val="32"/>
        </w:rPr>
        <w:t>庚酸</w:t>
      </w:r>
      <w:r>
        <w:rPr>
          <w:rFonts w:hint="eastAsia" w:ascii="仿宋_GB2312" w:hAnsi="仿宋_GB2312" w:eastAsia="仿宋_GB2312" w:cs="仿宋_GB2312"/>
          <w:sz w:val="32"/>
          <w:szCs w:val="32"/>
          <w:lang w:eastAsia="zh-CN"/>
        </w:rPr>
        <w:t>和正</w:t>
      </w:r>
      <w:r>
        <w:rPr>
          <w:rFonts w:hint="eastAsia" w:ascii="仿宋_GB2312" w:hAnsi="仿宋_GB2312" w:eastAsia="仿宋_GB2312" w:cs="仿宋_GB2312"/>
          <w:sz w:val="32"/>
          <w:szCs w:val="32"/>
        </w:rPr>
        <w:t>壬酸企业标准</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1项；申请或授权发明专利不少于2项</w:t>
      </w:r>
      <w:r>
        <w:rPr>
          <w:rFonts w:hint="default" w:ascii="Times New Roman" w:hAnsi="Times New Roman" w:eastAsia="仿宋_GB2312" w:cs="Times New Roman"/>
          <w:sz w:val="32"/>
          <w:szCs w:val="32"/>
        </w:rPr>
        <w:t>。</w:t>
      </w:r>
    </w:p>
    <w:p w14:paraId="74453EFC">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有关说明:本指南方向省财政引导经费</w:t>
      </w:r>
      <w:r>
        <w:rPr>
          <w:rFonts w:hint="eastAsia" w:eastAsia="仿宋_GB2312" w:cs="Times New Roman"/>
          <w:b w:val="0"/>
          <w:bCs w:val="0"/>
          <w:kern w:val="2"/>
          <w:sz w:val="32"/>
          <w:szCs w:val="32"/>
          <w:lang w:val="en-US" w:eastAsia="zh-CN" w:bidi="ar-SA"/>
        </w:rPr>
        <w:t>300-</w:t>
      </w:r>
      <w:r>
        <w:rPr>
          <w:rFonts w:hint="default" w:ascii="Times New Roman" w:hAnsi="Times New Roman" w:eastAsia="仿宋_GB2312" w:cs="Times New Roman"/>
          <w:b w:val="0"/>
          <w:bCs w:val="0"/>
          <w:kern w:val="2"/>
          <w:sz w:val="32"/>
          <w:szCs w:val="32"/>
          <w:lang w:val="en-US" w:eastAsia="zh-CN" w:bidi="ar-SA"/>
        </w:rPr>
        <w:t xml:space="preserve"> 700万元,遴选方式为公开竞争(企业牵头承担)。</w:t>
      </w:r>
    </w:p>
    <w:p w14:paraId="02EF0A66">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w:t>
      </w:r>
      <w:r>
        <w:rPr>
          <w:rFonts w:hint="default" w:ascii="Times New Roman" w:hAnsi="Times New Roman" w:eastAsia="黑体" w:cs="Times New Roman"/>
          <w:sz w:val="32"/>
          <w:szCs w:val="32"/>
          <w:lang w:val="en-US" w:eastAsia="zh-CN"/>
        </w:rPr>
        <w:t>“重要功能营养品生物合成”专项</w:t>
      </w:r>
      <w:r>
        <w:rPr>
          <w:rFonts w:hint="eastAsia" w:ascii="Times New Roman" w:hAnsi="Times New Roman" w:eastAsia="黑体" w:cs="Times New Roman"/>
          <w:sz w:val="32"/>
          <w:szCs w:val="32"/>
          <w:lang w:val="en-US" w:eastAsia="zh-CN"/>
        </w:rPr>
        <w:t>申报指南</w:t>
      </w:r>
    </w:p>
    <w:p w14:paraId="60C3E6F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default" w:ascii="Times New Roman" w:hAnsi="Times New Roman" w:eastAsia="楷体_GB2312" w:cs="Times New Roman"/>
          <w:b/>
          <w:bCs/>
          <w:sz w:val="32"/>
          <w:szCs w:val="32"/>
          <w:lang w:eastAsia="zh-CN"/>
        </w:rPr>
        <w:t>指南名称：微生物β-葡聚糖系列健康食品开发与产业化</w:t>
      </w:r>
    </w:p>
    <w:p w14:paraId="1FC9A0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研究内容：</w:t>
      </w:r>
      <w:r>
        <w:rPr>
          <w:rFonts w:hint="eastAsia" w:ascii="仿宋_GB2312" w:hAnsi="仿宋_GB2312" w:eastAsia="仿宋_GB2312" w:cs="仿宋_GB2312"/>
          <w:sz w:val="32"/>
          <w:szCs w:val="32"/>
          <w:lang w:val="en-US" w:eastAsia="zh-CN"/>
        </w:rPr>
        <w:t xml:space="preserve">系统研究微生物β-葡聚糖的结构与风味、质构等应用特性和调节胃肠道功能、改善机体代谢等生物活性的构效、量效关系，并阐述其作用机制，建立微生物β-葡聚糖的质量评价体系；研究微生物β-葡聚糖分散性、溶解性提升及活性保持与稳态化技术；以微生物β-葡聚糖为活性组分，通过精准营养设计，开发出适于胃肠道功能障碍、代谢异常等人群的多种形式健康食品及其加工技术；开展产品的工艺验证和产品评价，建立产业化示范生产线。 </w:t>
      </w:r>
    </w:p>
    <w:p w14:paraId="471CA3A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考核指标：</w:t>
      </w:r>
      <w:r>
        <w:rPr>
          <w:rFonts w:hint="eastAsia" w:ascii="仿宋_GB2312" w:hAnsi="仿宋_GB2312" w:eastAsia="仿宋_GB2312" w:cs="仿宋_GB2312"/>
          <w:sz w:val="32"/>
          <w:szCs w:val="32"/>
          <w:lang w:val="en-US" w:eastAsia="zh-CN"/>
        </w:rPr>
        <w:t>明确微生物β-葡聚糖的应用特性、生物活性的构效、量效关系，建立微生物β-葡聚糖的质量评价体系1-2个；构建微生物β-葡聚糖分散性、溶解性提升及活性保持与稳态化技术≥2项；开发以微生物β-葡聚糖为活性组分并具有调节胃肠道功能、改善机体代谢等作用的健康食品3-5种；建成/升级产能达0.5-1万吨/年的健康食品示范生产线1-2条，新增产值≥5000万元；申请或授权发明专利≥5件；制定标准≥3项。</w:t>
      </w:r>
    </w:p>
    <w:p w14:paraId="0C713F05">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有关说明:本指南方向省财政引导经费</w:t>
      </w:r>
      <w:r>
        <w:rPr>
          <w:rFonts w:hint="eastAsia" w:eastAsia="仿宋_GB2312" w:cs="Times New Roman"/>
          <w:b w:val="0"/>
          <w:bCs w:val="0"/>
          <w:kern w:val="2"/>
          <w:sz w:val="32"/>
          <w:szCs w:val="32"/>
          <w:lang w:val="en-US" w:eastAsia="zh-CN" w:bidi="ar-SA"/>
        </w:rPr>
        <w:t>300-</w:t>
      </w:r>
      <w:r>
        <w:rPr>
          <w:rFonts w:hint="default" w:ascii="Times New Roman" w:hAnsi="Times New Roman" w:eastAsia="仿宋_GB2312" w:cs="Times New Roman"/>
          <w:b w:val="0"/>
          <w:bCs w:val="0"/>
          <w:kern w:val="2"/>
          <w:sz w:val="32"/>
          <w:szCs w:val="32"/>
          <w:lang w:val="en-US" w:eastAsia="zh-CN" w:bidi="ar-SA"/>
        </w:rPr>
        <w:t xml:space="preserve"> 700 万元,遴选方式为公开竞争(企业牵头承担)。</w:t>
      </w:r>
    </w:p>
    <w:p w14:paraId="1E2A6998">
      <w:pPr>
        <w:ind w:firstLine="640"/>
        <w:rPr>
          <w:rFonts w:hint="eastAsia" w:ascii="黑体" w:hAnsi="黑体" w:eastAsia="黑体" w:cs="黑体"/>
          <w:kern w:val="0"/>
          <w:sz w:val="32"/>
          <w:szCs w:val="32"/>
          <w:lang w:eastAsia="zh-CN" w:bidi="ar"/>
        </w:rPr>
      </w:pPr>
      <w:r>
        <w:rPr>
          <w:rFonts w:hint="eastAsia" w:ascii="黑体" w:hAnsi="黑体" w:eastAsia="黑体" w:cs="黑体"/>
          <w:sz w:val="32"/>
          <w:szCs w:val="32"/>
          <w:lang w:eastAsia="zh-CN"/>
        </w:rPr>
        <w:t>三、</w:t>
      </w:r>
      <w:r>
        <w:rPr>
          <w:rFonts w:hint="eastAsia" w:ascii="黑体" w:hAnsi="黑体" w:eastAsia="黑体" w:cs="黑体"/>
          <w:sz w:val="32"/>
          <w:szCs w:val="32"/>
        </w:rPr>
        <w:t>“培南类药物全连续流微纳不对称工业合成”专项</w:t>
      </w:r>
      <w:r>
        <w:rPr>
          <w:rFonts w:hint="eastAsia" w:ascii="黑体" w:hAnsi="黑体" w:eastAsia="黑体" w:cs="黑体"/>
          <w:sz w:val="32"/>
          <w:szCs w:val="32"/>
          <w:lang w:eastAsia="zh-CN"/>
        </w:rPr>
        <w:t>申报指南</w:t>
      </w:r>
    </w:p>
    <w:p w14:paraId="5001237C">
      <w:pPr>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指南名称：培南类药物全连续流合成工艺及装备开发</w:t>
      </w:r>
    </w:p>
    <w:p w14:paraId="3BA3912F">
      <w:pPr>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研究三个培南类药物（美罗培南、亚胺培南、厄他培南）的釜式不对称合成工艺；开发连续流反应器及其配套装备；研究开发三个培南类药物的全连续流合成工艺。</w:t>
      </w:r>
    </w:p>
    <w:p w14:paraId="16E2A13B">
      <w:pPr>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研发适用于三个培南类药物工业连续流合成的微反应器及其配套装备；研究开发三个培南类药物的全连续流不对称合成工艺，收率较现有工艺提升10%（以4-AA为起始原料计）；产品质量符合美国药典相关标准，其中美罗培南API（按美国药典USP-NF2025）含量98.0-101.0%（按无水物计）、美罗培南开环物杂质不超过0.3%、美罗培南二聚物杂质不超过0.3%、其它总杂不超过0.3%；旋光度−17° ~ −21°。较现有工艺，综合成本降低20-30%，能耗降低30-40%；申请中国发明专利4-8件，发表高水平论文5-8篇。</w:t>
      </w:r>
    </w:p>
    <w:p w14:paraId="50A635D2">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有关说明:本指南方向省财政引导经费</w:t>
      </w:r>
      <w:r>
        <w:rPr>
          <w:rFonts w:hint="eastAsia" w:eastAsia="仿宋_GB2312" w:cs="Times New Roman"/>
          <w:b w:val="0"/>
          <w:bCs w:val="0"/>
          <w:kern w:val="2"/>
          <w:sz w:val="32"/>
          <w:szCs w:val="32"/>
          <w:lang w:val="en-US" w:eastAsia="zh-CN" w:bidi="ar-SA"/>
        </w:rPr>
        <w:t>300-650</w:t>
      </w:r>
      <w:r>
        <w:rPr>
          <w:rFonts w:hint="default" w:ascii="Times New Roman" w:hAnsi="Times New Roman" w:eastAsia="仿宋_GB2312" w:cs="Times New Roman"/>
          <w:b w:val="0"/>
          <w:bCs w:val="0"/>
          <w:kern w:val="2"/>
          <w:sz w:val="32"/>
          <w:szCs w:val="32"/>
          <w:lang w:val="en-US" w:eastAsia="zh-CN" w:bidi="ar-SA"/>
        </w:rPr>
        <w:t>万元,遴选方式为公开竞争。</w:t>
      </w:r>
    </w:p>
    <w:p w14:paraId="1E9E0AE4">
      <w:pPr>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指南名称：培南类药物全连续流工业示范工艺开发</w:t>
      </w:r>
    </w:p>
    <w:p w14:paraId="0249A08A">
      <w:pPr>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开发三个培南类药物（亚胺培南、美罗培南、厄他培南）的全连续流示范工艺；研制全连续流化学合成装备及配套的智能化控制系统；建设培南类药物全连续流生产线。</w:t>
      </w:r>
    </w:p>
    <w:p w14:paraId="63CEAE2D">
      <w:pPr>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研制1套连续流化学合成装备及配套的智能化控制系统，建成年产427吨培南类药物及关键中间体连续流生产线，实现销售3亿元，利税3000万元。产品质量符合美国药典相关标准，其中美罗培南API（按美国药典USP-NF2025）含量98.0-101.0%（按无水物计）、美罗培南开环物杂质不超过0.3%、美罗培南二聚物杂质不超过0.3%、其它总杂不超过0.3%；旋光度−17° ~ −21°。产品收率较现有工艺提升10%（以4-AA为起始原料计）；较现有工艺，综合成本降低20-30%，能耗降低30-40%。</w:t>
      </w:r>
    </w:p>
    <w:p w14:paraId="048BF5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b w:val="0"/>
          <w:bCs w:val="0"/>
          <w:kern w:val="2"/>
          <w:sz w:val="32"/>
          <w:szCs w:val="32"/>
          <w:lang w:val="en-US" w:eastAsia="zh-CN" w:bidi="ar-SA"/>
        </w:rPr>
        <w:t>有关说明:本指南方向省财政引导经费</w:t>
      </w:r>
      <w:r>
        <w:rPr>
          <w:rFonts w:hint="eastAsia" w:eastAsia="仿宋_GB2312" w:cs="Times New Roman"/>
          <w:b w:val="0"/>
          <w:bCs w:val="0"/>
          <w:kern w:val="2"/>
          <w:sz w:val="32"/>
          <w:szCs w:val="32"/>
          <w:lang w:val="en-US" w:eastAsia="zh-CN" w:bidi="ar-SA"/>
        </w:rPr>
        <w:t>300-650</w:t>
      </w:r>
      <w:r>
        <w:rPr>
          <w:rFonts w:hint="default" w:ascii="Times New Roman" w:hAnsi="Times New Roman" w:eastAsia="仿宋_GB2312" w:cs="Times New Roman"/>
          <w:b w:val="0"/>
          <w:bCs w:val="0"/>
          <w:kern w:val="2"/>
          <w:sz w:val="32"/>
          <w:szCs w:val="32"/>
          <w:lang w:val="en-US" w:eastAsia="zh-CN" w:bidi="ar-SA"/>
        </w:rPr>
        <w:t>万元,遴选方式为</w:t>
      </w:r>
      <w:r>
        <w:rPr>
          <w:rFonts w:hint="eastAsia" w:ascii="仿宋_GB2312" w:hAnsi="仿宋_GB2312" w:eastAsia="仿宋_GB2312" w:cs="仿宋_GB2312"/>
          <w:sz w:val="32"/>
          <w:szCs w:val="32"/>
          <w:lang w:eastAsia="zh-CN"/>
        </w:rPr>
        <w:t>直接</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b w:val="0"/>
          <w:bCs w:val="0"/>
          <w:kern w:val="2"/>
          <w:sz w:val="32"/>
          <w:szCs w:val="32"/>
          <w:lang w:val="en-US" w:eastAsia="zh-CN" w:bidi="ar"/>
        </w:rPr>
        <w:t>牵头单位</w:t>
      </w:r>
      <w:r>
        <w:rPr>
          <w:rFonts w:hint="eastAsia" w:eastAsia="仿宋_GB2312" w:cs="Times New Roman"/>
          <w:b w:val="0"/>
          <w:bCs w:val="0"/>
          <w:kern w:val="2"/>
          <w:sz w:val="32"/>
          <w:szCs w:val="32"/>
          <w:lang w:val="en-US" w:eastAsia="zh-CN" w:bidi="ar"/>
        </w:rPr>
        <w:t>为</w:t>
      </w:r>
      <w:r>
        <w:rPr>
          <w:rFonts w:hint="default" w:ascii="Times New Roman" w:hAnsi="Times New Roman" w:eastAsia="仿宋_GB2312" w:cs="Times New Roman"/>
          <w:b w:val="0"/>
          <w:bCs w:val="0"/>
          <w:kern w:val="2"/>
          <w:sz w:val="32"/>
          <w:szCs w:val="32"/>
          <w:lang w:val="en-US" w:eastAsia="zh-CN" w:bidi="ar"/>
        </w:rPr>
        <w:t>江西富祥药业股份有限公司</w:t>
      </w:r>
      <w:r>
        <w:rPr>
          <w:rFonts w:hint="eastAsia" w:ascii="Times New Roman" w:hAnsi="Times New Roman" w:eastAsia="仿宋_GB2312" w:cs="Times New Roman"/>
          <w:b w:val="0"/>
          <w:bCs w:val="0"/>
          <w:kern w:val="2"/>
          <w:sz w:val="32"/>
          <w:szCs w:val="32"/>
          <w:lang w:val="en-US" w:eastAsia="zh-CN" w:bidi="ar"/>
        </w:rPr>
        <w:t>。</w:t>
      </w:r>
    </w:p>
    <w:p w14:paraId="1B4E553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36A265-5BED-4159-98EB-3A91F83355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9E1DC0E-7529-4316-A3CC-CD6242E8A874}"/>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B64EF186-0703-44B1-8CB9-11A99FFF3077}"/>
  </w:font>
  <w:font w:name="楷体_GB2312">
    <w:altName w:val="楷体"/>
    <w:panose1 w:val="02010609030101010101"/>
    <w:charset w:val="86"/>
    <w:family w:val="auto"/>
    <w:pitch w:val="default"/>
    <w:sig w:usb0="00000000" w:usb1="00000000" w:usb2="00000000" w:usb3="00000000" w:csb0="00040000" w:csb1="00000000"/>
    <w:embedRegular r:id="rId4" w:fontKey="{7C47712C-2ED6-4E8B-9B50-0E709C9C14C7}"/>
  </w:font>
  <w:font w:name="仿宋_GB2312">
    <w:altName w:val="仿宋"/>
    <w:panose1 w:val="02010609030101010101"/>
    <w:charset w:val="86"/>
    <w:family w:val="auto"/>
    <w:pitch w:val="default"/>
    <w:sig w:usb0="00000000" w:usb1="00000000" w:usb2="00000000" w:usb3="00000000" w:csb0="00040000" w:csb1="00000000"/>
    <w:embedRegular r:id="rId5" w:fontKey="{5D580C0B-9276-4CE7-A202-03875D3262CE}"/>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A5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asciiTheme="minorHAnsi" w:hAnsiTheme="minorHAnsi" w:eastAsiaTheme="minorEastAsia" w:cstheme="minorBidi"/>
    </w:rPr>
  </w:style>
  <w:style w:type="paragraph" w:styleId="3">
    <w:name w:val="Body Text First Indent"/>
    <w:basedOn w:val="2"/>
    <w:next w:val="1"/>
    <w:unhideWhenUsed/>
    <w:qFormat/>
    <w:uiPriority w:val="99"/>
    <w:pPr>
      <w:ind w:firstLine="420" w:firstLineChars="100"/>
    </w:pPr>
    <w:rPr>
      <w:rFonts w:ascii="等线" w:hAnsi="等线" w:eastAsia="等线" w:cs="Times New Roman"/>
    </w:rPr>
  </w:style>
  <w:style w:type="paragraph" w:styleId="4">
    <w:name w:val="Body Text Indent"/>
    <w:basedOn w:val="1"/>
    <w:qFormat/>
    <w:uiPriority w:val="0"/>
    <w:pPr>
      <w:ind w:left="0" w:leftChars="0"/>
    </w:pPr>
    <w:rPr>
      <w:rFonts w:ascii="Times New Roman" w:hAnsi="Times New Roman" w:eastAsia="宋体" w:cs="Times New Roman"/>
      <w:szCs w:val="21"/>
    </w:rPr>
  </w:style>
  <w:style w:type="paragraph" w:styleId="5">
    <w:name w:val="footer"/>
    <w:basedOn w:val="1"/>
    <w:qFormat/>
    <w:uiPriority w:val="0"/>
    <w:pPr>
      <w:tabs>
        <w:tab w:val="center" w:pos="4153"/>
        <w:tab w:val="right" w:pos="8306"/>
      </w:tabs>
      <w:snapToGrid w:val="0"/>
      <w:jc w:val="left"/>
    </w:pPr>
    <w:rPr>
      <w:rFonts w:asciiTheme="minorHAnsi" w:hAnsiTheme="minorHAnsi" w:eastAsiaTheme="minorEastAsia" w:cstheme="minorBidi"/>
      <w:sz w:val="18"/>
    </w:rPr>
  </w:style>
  <w:style w:type="character" w:styleId="8">
    <w:name w:val="page number"/>
    <w:basedOn w:val="7"/>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2026-04-04T10:04:12Z</dcterms:created>
  <dc:creator>lrh</dc:creator>
  <cp:lastModifiedBy>李瑞恒</cp:lastModifiedBy>
  <dcterms:modified xsi:type="dcterms:W3CDTF">2026-04-04T10:04:23Z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eyJoZGlkIjoiNDM3MGIwNGQzNjVkNDcwYjI5MWFjYTc3MjQ2NWYzMTIiLCJ1c2VySWQiOiIxNTc2NjU1ODQ2In0=</vt:lpwstr>
  </property>
  <property fmtid="{D5CDD505-2E9C-101B-9397-08002B2CF9AE}" pid="4" name="ICV">
    <vt:lpwstr>B7924E3112F848049EE247D0EA549692_12</vt:lpwstr>
  </property>
</Properties>
</file>