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F05E2" w14:textId="77777777" w:rsidR="006A7F0D" w:rsidRDefault="00000000">
      <w:pPr>
        <w:spacing w:line="600" w:lineRule="exact"/>
        <w:jc w:val="left"/>
        <w:rPr>
          <w:rFonts w:ascii="方正小标宋_GBK" w:eastAsia="方正小标宋_GBK" w:hAnsi="方正小标宋_GBK" w:cs="方正小标宋_GBK" w:hint="eastAsia"/>
          <w:sz w:val="44"/>
          <w:szCs w:val="44"/>
        </w:rPr>
      </w:pPr>
      <w:r>
        <w:rPr>
          <w:rFonts w:eastAsia="黑体"/>
          <w:sz w:val="32"/>
          <w:szCs w:val="32"/>
        </w:rPr>
        <w:t>附件</w:t>
      </w:r>
      <w:r>
        <w:rPr>
          <w:rFonts w:eastAsia="黑体" w:hint="eastAsia"/>
          <w:sz w:val="32"/>
          <w:szCs w:val="32"/>
        </w:rPr>
        <w:t>3</w:t>
      </w:r>
    </w:p>
    <w:p w14:paraId="0550A800" w14:textId="77777777" w:rsidR="006A7F0D" w:rsidRDefault="00000000">
      <w:pPr>
        <w:pStyle w:val="a5"/>
        <w:spacing w:line="600" w:lineRule="exact"/>
        <w:jc w:val="center"/>
        <w:rPr>
          <w:rFonts w:eastAsia="方正小标宋简体"/>
        </w:rPr>
      </w:pPr>
      <w:r>
        <w:rPr>
          <w:rFonts w:eastAsia="方正小标宋简体" w:hint="eastAsia"/>
          <w:bCs/>
          <w:sz w:val="44"/>
          <w:szCs w:val="44"/>
        </w:rPr>
        <w:t>2025</w:t>
      </w:r>
      <w:r>
        <w:rPr>
          <w:rFonts w:eastAsia="方正小标宋简体"/>
          <w:bCs/>
          <w:sz w:val="44"/>
          <w:szCs w:val="44"/>
        </w:rPr>
        <w:t>年度</w:t>
      </w:r>
      <w:r>
        <w:rPr>
          <w:rFonts w:eastAsia="方正小标宋简体"/>
          <w:bCs/>
          <w:sz w:val="44"/>
          <w:szCs w:val="44"/>
        </w:rPr>
        <w:t>“2030</w:t>
      </w:r>
      <w:r>
        <w:rPr>
          <w:rFonts w:eastAsia="方正小标宋简体"/>
          <w:bCs/>
          <w:sz w:val="44"/>
          <w:szCs w:val="44"/>
        </w:rPr>
        <w:t>先锋工程</w:t>
      </w:r>
      <w:r>
        <w:rPr>
          <w:rFonts w:eastAsia="方正小标宋简体"/>
          <w:bCs/>
          <w:sz w:val="44"/>
          <w:szCs w:val="44"/>
        </w:rPr>
        <w:t>”</w:t>
      </w:r>
      <w:r>
        <w:rPr>
          <w:rFonts w:eastAsia="方正小标宋简体"/>
          <w:bCs/>
          <w:sz w:val="44"/>
          <w:szCs w:val="44"/>
        </w:rPr>
        <w:t>专项项目申报指南</w:t>
      </w:r>
    </w:p>
    <w:p w14:paraId="1967222F" w14:textId="77777777" w:rsidR="006A7F0D" w:rsidRDefault="006A7F0D">
      <w:pPr>
        <w:pStyle w:val="a5"/>
        <w:rPr>
          <w:rFonts w:eastAsia="方正小标宋简体"/>
          <w:sz w:val="44"/>
          <w:szCs w:val="44"/>
        </w:rPr>
      </w:pPr>
    </w:p>
    <w:p w14:paraId="30EE29F8" w14:textId="77777777" w:rsidR="006A7F0D" w:rsidRDefault="00000000">
      <w:pPr>
        <w:pStyle w:val="a0"/>
        <w:spacing w:after="0" w:line="600" w:lineRule="exact"/>
        <w:ind w:firstLineChars="200" w:firstLine="640"/>
        <w:rPr>
          <w:rFonts w:ascii="Times New Roman" w:eastAsia="黑体" w:hAnsi="Times New Roman" w:cs="Times New Roman"/>
          <w:sz w:val="32"/>
          <w:szCs w:val="32"/>
          <w:lang w:val="en"/>
        </w:rPr>
      </w:pPr>
      <w:r>
        <w:rPr>
          <w:rFonts w:ascii="Times New Roman" w:eastAsia="黑体" w:hAnsi="Times New Roman" w:cs="Times New Roman" w:hint="eastAsia"/>
          <w:sz w:val="32"/>
          <w:szCs w:val="32"/>
        </w:rPr>
        <w:t>一</w:t>
      </w:r>
      <w:r>
        <w:rPr>
          <w:rFonts w:ascii="Times New Roman" w:eastAsia="黑体" w:hAnsi="Times New Roman" w:cs="Times New Roman"/>
          <w:sz w:val="32"/>
          <w:szCs w:val="32"/>
        </w:rPr>
        <w:t>、</w:t>
      </w:r>
      <w:r>
        <w:rPr>
          <w:rFonts w:ascii="Times New Roman" w:eastAsia="黑体" w:hAnsi="Times New Roman" w:cs="Times New Roman"/>
          <w:sz w:val="32"/>
          <w:szCs w:val="32"/>
        </w:rPr>
        <w:t>“</w:t>
      </w:r>
      <w:r>
        <w:rPr>
          <w:rFonts w:ascii="Times New Roman" w:eastAsia="黑体" w:hAnsi="Times New Roman" w:cs="Times New Roman"/>
          <w:sz w:val="32"/>
          <w:szCs w:val="32"/>
        </w:rPr>
        <w:t>高速光通信激光器及其应用</w:t>
      </w:r>
      <w:r>
        <w:rPr>
          <w:rFonts w:ascii="Times New Roman" w:eastAsia="黑体" w:hAnsi="Times New Roman" w:cs="Times New Roman"/>
          <w:sz w:val="32"/>
          <w:szCs w:val="32"/>
        </w:rPr>
        <w:t>”</w:t>
      </w:r>
      <w:r>
        <w:rPr>
          <w:rFonts w:ascii="Times New Roman" w:eastAsia="黑体" w:hAnsi="Times New Roman" w:cs="Times New Roman"/>
          <w:sz w:val="32"/>
          <w:szCs w:val="32"/>
        </w:rPr>
        <w:t>专项</w:t>
      </w:r>
      <w:r>
        <w:rPr>
          <w:rFonts w:ascii="Times New Roman" w:eastAsia="黑体" w:hAnsi="Times New Roman" w:cs="Times New Roman" w:hint="eastAsia"/>
          <w:sz w:val="32"/>
          <w:szCs w:val="32"/>
        </w:rPr>
        <w:t>申报指南</w:t>
      </w:r>
    </w:p>
    <w:p w14:paraId="2B43CAB6" w14:textId="77777777" w:rsidR="006A7F0D" w:rsidRDefault="00000000">
      <w:pPr>
        <w:pStyle w:val="a0"/>
        <w:spacing w:after="0" w:line="600" w:lineRule="exact"/>
        <w:ind w:firstLineChars="200" w:firstLine="643"/>
        <w:rPr>
          <w:rFonts w:ascii="Times New Roman" w:eastAsia="楷体_GB2312" w:hAnsi="Times New Roman" w:cs="Times New Roman"/>
          <w:b/>
          <w:bCs/>
          <w:sz w:val="32"/>
          <w:szCs w:val="32"/>
        </w:rPr>
      </w:pPr>
      <w:bookmarkStart w:id="0" w:name="heading_60"/>
      <w:r>
        <w:rPr>
          <w:rFonts w:ascii="Times New Roman" w:eastAsia="楷体_GB2312" w:hAnsi="Times New Roman" w:cs="Times New Roman"/>
          <w:b/>
          <w:bCs/>
          <w:sz w:val="32"/>
          <w:szCs w:val="32"/>
        </w:rPr>
        <w:t>指南名称：</w:t>
      </w:r>
      <w:bookmarkEnd w:id="0"/>
      <w:r>
        <w:rPr>
          <w:rFonts w:ascii="Times New Roman" w:eastAsia="楷体_GB2312" w:hAnsi="Times New Roman" w:cs="Times New Roman"/>
          <w:b/>
          <w:bCs/>
          <w:sz w:val="32"/>
          <w:szCs w:val="32"/>
        </w:rPr>
        <w:t>100G VCSEL</w:t>
      </w:r>
      <w:r>
        <w:rPr>
          <w:rFonts w:ascii="Times New Roman" w:eastAsia="楷体_GB2312" w:hAnsi="Times New Roman" w:cs="Times New Roman"/>
          <w:b/>
          <w:bCs/>
          <w:sz w:val="32"/>
          <w:szCs w:val="32"/>
        </w:rPr>
        <w:t>高速垂直腔面发射激光器芯片技术研究</w:t>
      </w:r>
    </w:p>
    <w:p w14:paraId="7F4DE982" w14:textId="77777777" w:rsidR="006A7F0D" w:rsidRDefault="00000000">
      <w:pPr>
        <w:spacing w:line="600" w:lineRule="exact"/>
        <w:ind w:firstLineChars="200" w:firstLine="643"/>
        <w:rPr>
          <w:rFonts w:eastAsia="仿宋_GB2312"/>
          <w:sz w:val="32"/>
          <w:szCs w:val="32"/>
        </w:rPr>
      </w:pPr>
      <w:r>
        <w:rPr>
          <w:rFonts w:eastAsia="仿宋_GB2312"/>
          <w:b/>
          <w:bCs/>
          <w:sz w:val="32"/>
          <w:szCs w:val="32"/>
        </w:rPr>
        <w:t>研究内容：</w:t>
      </w:r>
      <w:r>
        <w:rPr>
          <w:rFonts w:ascii="仿宋_GB2312" w:eastAsia="仿宋_GB2312" w:hAnsi="仿宋_GB2312" w:cs="仿宋_GB2312" w:hint="eastAsia"/>
          <w:sz w:val="32"/>
          <w:szCs w:val="32"/>
        </w:rPr>
        <w:t>研究VCSEL的外延和芯片结构设计，以满足100Gbps PAM4的调制需求；研究VCSEL芯片的外延生长技术；研究VCSEL芯片的制程技术，包括湿法氧化技术、刻蚀技术、薄膜沉积和金属工艺等；研究和优化PN结寄生电容，串联电阻，电极设计以提高带宽的方案。</w:t>
      </w:r>
    </w:p>
    <w:p w14:paraId="271F5E47" w14:textId="77777777" w:rsidR="006A7F0D" w:rsidRDefault="00000000">
      <w:pPr>
        <w:adjustRightInd w:val="0"/>
        <w:snapToGrid w:val="0"/>
        <w:spacing w:line="600" w:lineRule="exact"/>
        <w:ind w:firstLineChars="200" w:firstLine="643"/>
        <w:rPr>
          <w:rFonts w:eastAsia="仿宋_GB2312"/>
          <w:sz w:val="32"/>
          <w:szCs w:val="32"/>
        </w:rPr>
      </w:pPr>
      <w:r>
        <w:rPr>
          <w:rFonts w:eastAsia="仿宋_GB2312"/>
          <w:b/>
          <w:bCs/>
          <w:sz w:val="32"/>
          <w:szCs w:val="32"/>
        </w:rPr>
        <w:t>考核指标：</w:t>
      </w:r>
      <w:r>
        <w:rPr>
          <w:rFonts w:ascii="仿宋_GB2312" w:eastAsia="仿宋_GB2312" w:hAnsi="仿宋_GB2312" w:cs="仿宋_GB2312" w:hint="eastAsia"/>
          <w:sz w:val="32"/>
          <w:szCs w:val="32"/>
        </w:rPr>
        <w:t>研制出至少1款100Gbps PAM4 调制下VCSEL芯片，性能达到如下指标：阈值电流&lt;1.5mA、输出功率&gt;2.5mW @9mA、斜率效率&gt;0.3mW/mA、谱宽&lt;0.65nm @9mA、驱动电压&lt;2.6V @9mA、-3dB带宽&gt;25GHz、PAM4眼图TDECQ&lt;3.0dB，项目执行期新增产值2000万以上。</w:t>
      </w:r>
    </w:p>
    <w:p w14:paraId="4DA84237" w14:textId="77777777" w:rsidR="006A7F0D" w:rsidRDefault="00000000">
      <w:pPr>
        <w:pStyle w:val="a5"/>
        <w:ind w:firstLineChars="200" w:firstLine="640"/>
        <w:rPr>
          <w:rFonts w:eastAsia="黑体"/>
          <w:sz w:val="32"/>
          <w:szCs w:val="32"/>
        </w:rPr>
      </w:pPr>
      <w:r>
        <w:rPr>
          <w:rFonts w:eastAsia="仿宋_GB2312"/>
          <w:sz w:val="32"/>
          <w:szCs w:val="32"/>
        </w:rPr>
        <w:t>有关说明</w:t>
      </w:r>
      <w:r>
        <w:rPr>
          <w:rFonts w:eastAsia="仿宋_GB2312"/>
          <w:sz w:val="32"/>
          <w:szCs w:val="32"/>
        </w:rPr>
        <w:t>:</w:t>
      </w:r>
      <w:r>
        <w:rPr>
          <w:rFonts w:eastAsia="仿宋_GB2312"/>
          <w:sz w:val="32"/>
          <w:szCs w:val="32"/>
        </w:rPr>
        <w:t>本指南方向省财政引导经费</w:t>
      </w:r>
      <w:r>
        <w:rPr>
          <w:rFonts w:eastAsia="仿宋_GB2312" w:hint="eastAsia"/>
          <w:sz w:val="32"/>
          <w:szCs w:val="32"/>
        </w:rPr>
        <w:t>300-</w:t>
      </w:r>
      <w:r>
        <w:rPr>
          <w:rFonts w:eastAsia="仿宋_GB2312"/>
          <w:sz w:val="32"/>
          <w:szCs w:val="32"/>
        </w:rPr>
        <w:t xml:space="preserve"> 70</w:t>
      </w:r>
      <w:r>
        <w:rPr>
          <w:rFonts w:eastAsia="仿宋_GB2312" w:hint="eastAsia"/>
          <w:sz w:val="32"/>
          <w:szCs w:val="32"/>
        </w:rPr>
        <w:t>0</w:t>
      </w:r>
      <w:r>
        <w:rPr>
          <w:rFonts w:eastAsia="仿宋_GB2312"/>
          <w:sz w:val="32"/>
          <w:szCs w:val="32"/>
        </w:rPr>
        <w:t>万元</w:t>
      </w:r>
      <w:r>
        <w:rPr>
          <w:rFonts w:eastAsia="仿宋_GB2312"/>
          <w:sz w:val="32"/>
          <w:szCs w:val="32"/>
        </w:rPr>
        <w:t>,</w:t>
      </w:r>
      <w:r>
        <w:rPr>
          <w:rFonts w:eastAsia="仿宋_GB2312"/>
          <w:sz w:val="32"/>
          <w:szCs w:val="32"/>
        </w:rPr>
        <w:t>遴选方式为公开竞争</w:t>
      </w:r>
      <w:r>
        <w:rPr>
          <w:rFonts w:eastAsia="仿宋_GB2312"/>
          <w:sz w:val="32"/>
          <w:szCs w:val="32"/>
        </w:rPr>
        <w:t>(</w:t>
      </w:r>
      <w:r>
        <w:rPr>
          <w:rFonts w:eastAsia="仿宋_GB2312"/>
          <w:sz w:val="32"/>
          <w:szCs w:val="32"/>
        </w:rPr>
        <w:t>企业牵头承担</w:t>
      </w:r>
      <w:r>
        <w:rPr>
          <w:rFonts w:eastAsia="仿宋_GB2312"/>
          <w:sz w:val="32"/>
          <w:szCs w:val="32"/>
        </w:rPr>
        <w:t>)</w:t>
      </w:r>
      <w:r>
        <w:rPr>
          <w:rFonts w:eastAsia="仿宋_GB2312"/>
          <w:sz w:val="32"/>
          <w:szCs w:val="32"/>
        </w:rPr>
        <w:t>。</w:t>
      </w:r>
    </w:p>
    <w:p w14:paraId="677CF7BD" w14:textId="77777777" w:rsidR="006A7F0D" w:rsidRDefault="00000000">
      <w:pPr>
        <w:pStyle w:val="a0"/>
        <w:spacing w:after="0" w:line="60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hint="eastAsia"/>
          <w:sz w:val="32"/>
          <w:szCs w:val="32"/>
        </w:rPr>
        <w:t>二</w:t>
      </w:r>
      <w:r>
        <w:rPr>
          <w:rFonts w:ascii="Times New Roman" w:eastAsia="黑体" w:hAnsi="Times New Roman" w:cs="Times New Roman"/>
          <w:sz w:val="32"/>
          <w:szCs w:val="32"/>
        </w:rPr>
        <w:t>、</w:t>
      </w:r>
      <w:r>
        <w:rPr>
          <w:rFonts w:ascii="Times New Roman" w:eastAsia="黑体" w:hAnsi="Times New Roman" w:cs="Times New Roman"/>
          <w:sz w:val="32"/>
          <w:szCs w:val="32"/>
        </w:rPr>
        <w:t>“</w:t>
      </w:r>
      <w:r>
        <w:rPr>
          <w:rFonts w:ascii="Times New Roman" w:eastAsia="黑体" w:hAnsi="Times New Roman" w:cs="Times New Roman"/>
          <w:sz w:val="32"/>
          <w:szCs w:val="32"/>
        </w:rPr>
        <w:t>智能驾驶轻型商用车关键技术研发与产业化应用</w:t>
      </w:r>
      <w:r>
        <w:rPr>
          <w:rFonts w:ascii="Times New Roman" w:eastAsia="黑体" w:hAnsi="Times New Roman" w:cs="Times New Roman"/>
          <w:sz w:val="32"/>
          <w:szCs w:val="32"/>
        </w:rPr>
        <w:t>”</w:t>
      </w:r>
      <w:r>
        <w:rPr>
          <w:rFonts w:ascii="Times New Roman" w:eastAsia="黑体" w:hAnsi="Times New Roman" w:cs="Times New Roman"/>
          <w:sz w:val="32"/>
          <w:szCs w:val="32"/>
        </w:rPr>
        <w:t>专项</w:t>
      </w:r>
      <w:r>
        <w:rPr>
          <w:rFonts w:ascii="Times New Roman" w:eastAsia="黑体" w:hAnsi="Times New Roman" w:cs="Times New Roman" w:hint="eastAsia"/>
          <w:sz w:val="32"/>
          <w:szCs w:val="32"/>
        </w:rPr>
        <w:t>申报指南</w:t>
      </w:r>
    </w:p>
    <w:p w14:paraId="7FD63538" w14:textId="77777777" w:rsidR="006A7F0D" w:rsidRDefault="00000000">
      <w:pPr>
        <w:ind w:firstLineChars="200" w:firstLine="643"/>
        <w:rPr>
          <w:rFonts w:eastAsia="楷体_GB2312"/>
          <w:b/>
          <w:bCs/>
          <w:sz w:val="32"/>
          <w:szCs w:val="32"/>
        </w:rPr>
      </w:pPr>
      <w:r>
        <w:rPr>
          <w:rFonts w:eastAsia="楷体_GB2312"/>
          <w:b/>
          <w:bCs/>
          <w:sz w:val="32"/>
          <w:szCs w:val="32"/>
        </w:rPr>
        <w:t>（一）指南名称：协同规划控制器开发</w:t>
      </w:r>
    </w:p>
    <w:p w14:paraId="715DC2F7" w14:textId="77777777" w:rsidR="006A7F0D" w:rsidRDefault="00000000">
      <w:pPr>
        <w:spacing w:line="600" w:lineRule="exact"/>
        <w:ind w:firstLineChars="200" w:firstLine="643"/>
        <w:rPr>
          <w:rFonts w:eastAsia="仿宋_GB2312"/>
          <w:sz w:val="32"/>
          <w:szCs w:val="32"/>
        </w:rPr>
      </w:pPr>
      <w:r>
        <w:rPr>
          <w:rFonts w:eastAsia="仿宋_GB2312"/>
          <w:b/>
          <w:bCs/>
          <w:sz w:val="32"/>
          <w:szCs w:val="32"/>
        </w:rPr>
        <w:t>研究内容</w:t>
      </w:r>
      <w:r>
        <w:rPr>
          <w:rFonts w:eastAsia="仿宋_GB2312"/>
          <w:sz w:val="32"/>
          <w:szCs w:val="32"/>
        </w:rPr>
        <w:t>：</w:t>
      </w:r>
      <w:r>
        <w:rPr>
          <w:rFonts w:ascii="仿宋_GB2312" w:eastAsia="仿宋_GB2312" w:hAnsi="仿宋_GB2312" w:cs="仿宋_GB2312" w:hint="eastAsia"/>
          <w:sz w:val="32"/>
          <w:szCs w:val="32"/>
        </w:rPr>
        <w:t>（1）安全轨迹规划与稳定跟踪控制关键技术研究：</w:t>
      </w:r>
      <w:r>
        <w:rPr>
          <w:rFonts w:ascii="仿宋_GB2312" w:eastAsia="仿宋_GB2312" w:hAnsi="仿宋_GB2312" w:cs="仿宋_GB2312" w:hint="eastAsia"/>
          <w:sz w:val="32"/>
          <w:szCs w:val="32"/>
        </w:rPr>
        <w:lastRenderedPageBreak/>
        <w:t>研究安全轨迹规划与稳定跟踪控制关键技术，生成行车最优轨迹；提出分层解耦控制架构，研究多执行器协调控制技术，开发冗余备份控制算法；（2）基于高性能计算芯片智驾域控软件集成关键技术研究：研究多芯片时间同步机制，研究面向商用车车载应用的轻量化数据分发通信方法，研发适配国产操作系统的底层软件和基于高性能计算芯片的智驾域控器集成软件；（3）</w:t>
      </w:r>
      <w:r>
        <w:rPr>
          <w:rFonts w:eastAsia="仿宋_GB2312" w:hint="eastAsia"/>
          <w:sz w:val="32"/>
          <w:szCs w:val="32"/>
        </w:rPr>
        <w:t>车规级抗干扰的域控硬件系统封装关键技术研发：研究抗干扰性强，</w:t>
      </w:r>
      <w:r>
        <w:rPr>
          <w:rFonts w:eastAsia="仿宋_GB2312"/>
          <w:sz w:val="32"/>
          <w:szCs w:val="32"/>
        </w:rPr>
        <w:t>车规级的智驾域控硬件集成方法，开发具备高效、轻量化散热结构的控制器。</w:t>
      </w:r>
    </w:p>
    <w:p w14:paraId="5B645EB0" w14:textId="77777777" w:rsidR="006A7F0D" w:rsidRDefault="00000000">
      <w:pPr>
        <w:spacing w:line="600" w:lineRule="exact"/>
        <w:ind w:firstLineChars="200" w:firstLine="643"/>
        <w:rPr>
          <w:rFonts w:eastAsia="仿宋_GB2312"/>
          <w:sz w:val="32"/>
          <w:szCs w:val="32"/>
        </w:rPr>
      </w:pPr>
      <w:r>
        <w:rPr>
          <w:rFonts w:eastAsia="仿宋_GB2312"/>
          <w:b/>
          <w:bCs/>
          <w:sz w:val="32"/>
          <w:szCs w:val="32"/>
        </w:rPr>
        <w:t>考核指标</w:t>
      </w:r>
      <w:r>
        <w:rPr>
          <w:rFonts w:eastAsia="仿宋_GB2312"/>
          <w:sz w:val="32"/>
          <w:szCs w:val="32"/>
        </w:rPr>
        <w:t>：</w:t>
      </w:r>
      <w:r>
        <w:rPr>
          <w:rFonts w:ascii="仿宋_GB2312" w:eastAsia="仿宋_GB2312" w:hAnsi="仿宋_GB2312" w:cs="仿宋_GB2312" w:hint="eastAsia"/>
          <w:sz w:val="32"/>
          <w:szCs w:val="32"/>
        </w:rPr>
        <w:t>ADE（平均位移误差）≤0.6m；FDE（最终位移误差）≤0.8m；车道居中稳定性偏差≤0.15m，70km/h支持最小转弯半径125m；速度规划的加加速度（jerk）波动≤0.5m/s³；高速公路跟车稳定性偏差≤1.5km/h；高速公路及城市快速路巡航速度行驶加减速≤1.5m/s</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主备系统切换时间≤100ms，离预设停车位置偏差≤0.3m；控制器算力≥500Tops；硬件支持IP54及以上防护等级，支持水冷及抗电磁干扰，电源电压跌落恢复时间≤50ms，辐射场强≤50dBμV/m。项目执行期内协同规划控制器产品累计产值≥1亿元。</w:t>
      </w:r>
    </w:p>
    <w:p w14:paraId="209E4ED1" w14:textId="77777777" w:rsidR="006A7F0D" w:rsidRDefault="00000000">
      <w:pPr>
        <w:pStyle w:val="a5"/>
        <w:ind w:firstLineChars="200" w:firstLine="640"/>
        <w:rPr>
          <w:sz w:val="32"/>
          <w:szCs w:val="32"/>
        </w:rPr>
      </w:pPr>
      <w:r>
        <w:rPr>
          <w:rFonts w:eastAsia="仿宋_GB2312"/>
          <w:sz w:val="32"/>
          <w:szCs w:val="32"/>
        </w:rPr>
        <w:t>有关说明</w:t>
      </w:r>
      <w:r>
        <w:rPr>
          <w:rFonts w:eastAsia="仿宋_GB2312"/>
          <w:sz w:val="32"/>
          <w:szCs w:val="32"/>
        </w:rPr>
        <w:t>:</w:t>
      </w:r>
      <w:r>
        <w:rPr>
          <w:rFonts w:eastAsia="仿宋_GB2312"/>
          <w:sz w:val="32"/>
          <w:szCs w:val="32"/>
        </w:rPr>
        <w:t>本指南方向省财政引导经费</w:t>
      </w:r>
      <w:r>
        <w:rPr>
          <w:rFonts w:eastAsia="仿宋_GB2312" w:hint="eastAsia"/>
          <w:sz w:val="32"/>
          <w:szCs w:val="32"/>
        </w:rPr>
        <w:t>300-</w:t>
      </w:r>
      <w:r>
        <w:rPr>
          <w:rFonts w:eastAsia="仿宋_GB2312"/>
          <w:sz w:val="32"/>
          <w:szCs w:val="32"/>
        </w:rPr>
        <w:t xml:space="preserve"> 700</w:t>
      </w:r>
      <w:r>
        <w:rPr>
          <w:rFonts w:eastAsia="仿宋_GB2312"/>
          <w:sz w:val="32"/>
          <w:szCs w:val="32"/>
        </w:rPr>
        <w:t>万元</w:t>
      </w:r>
      <w:r>
        <w:rPr>
          <w:rFonts w:eastAsia="仿宋_GB2312"/>
          <w:sz w:val="32"/>
          <w:szCs w:val="32"/>
        </w:rPr>
        <w:t>,</w:t>
      </w:r>
      <w:r>
        <w:rPr>
          <w:rFonts w:eastAsia="仿宋_GB2312"/>
          <w:sz w:val="32"/>
          <w:szCs w:val="32"/>
        </w:rPr>
        <w:t>遴选方式为公开竞争</w:t>
      </w:r>
      <w:r>
        <w:rPr>
          <w:rFonts w:eastAsia="仿宋_GB2312"/>
          <w:sz w:val="32"/>
          <w:szCs w:val="32"/>
        </w:rPr>
        <w:t>(</w:t>
      </w:r>
      <w:r>
        <w:rPr>
          <w:rFonts w:eastAsia="仿宋_GB2312"/>
          <w:sz w:val="32"/>
          <w:szCs w:val="32"/>
        </w:rPr>
        <w:t>企业牵头承担</w:t>
      </w:r>
      <w:r>
        <w:rPr>
          <w:rFonts w:eastAsia="仿宋_GB2312"/>
          <w:sz w:val="32"/>
          <w:szCs w:val="32"/>
        </w:rPr>
        <w:t>)</w:t>
      </w:r>
      <w:r>
        <w:rPr>
          <w:rFonts w:eastAsia="仿宋_GB2312"/>
          <w:sz w:val="32"/>
          <w:szCs w:val="32"/>
        </w:rPr>
        <w:t>。</w:t>
      </w:r>
    </w:p>
    <w:p w14:paraId="30EF8E3E" w14:textId="77777777" w:rsidR="006A7F0D" w:rsidRDefault="00000000">
      <w:pPr>
        <w:ind w:firstLineChars="200" w:firstLine="643"/>
        <w:rPr>
          <w:rFonts w:eastAsia="楷体_GB2312"/>
          <w:b/>
          <w:bCs/>
          <w:sz w:val="32"/>
          <w:szCs w:val="32"/>
        </w:rPr>
      </w:pPr>
      <w:r>
        <w:rPr>
          <w:rFonts w:eastAsia="楷体_GB2312"/>
          <w:b/>
          <w:bCs/>
          <w:sz w:val="32"/>
          <w:szCs w:val="32"/>
        </w:rPr>
        <w:t>（二）指南名称：轻型商用车智能线控底盘</w:t>
      </w:r>
    </w:p>
    <w:p w14:paraId="26731B90" w14:textId="77777777" w:rsidR="006A7F0D" w:rsidRDefault="00000000">
      <w:pPr>
        <w:pStyle w:val="a4"/>
        <w:spacing w:after="0" w:line="600" w:lineRule="exact"/>
        <w:ind w:firstLineChars="200" w:firstLine="643"/>
        <w:rPr>
          <w:rFonts w:ascii="Times New Roman" w:eastAsia="仿宋_GB2312" w:hAnsi="Times New Roman"/>
          <w:sz w:val="32"/>
          <w:szCs w:val="32"/>
        </w:rPr>
      </w:pPr>
      <w:r>
        <w:rPr>
          <w:rFonts w:ascii="Times New Roman" w:eastAsia="仿宋_GB2312" w:hAnsi="Times New Roman"/>
          <w:b/>
          <w:bCs/>
          <w:sz w:val="32"/>
          <w:szCs w:val="32"/>
        </w:rPr>
        <w:t>研究内容：</w:t>
      </w:r>
      <w:r>
        <w:rPr>
          <w:rFonts w:ascii="仿宋_GB2312" w:eastAsia="仿宋_GB2312" w:hAnsi="仿宋_GB2312" w:cs="仿宋_GB2312" w:hint="eastAsia"/>
          <w:sz w:val="32"/>
          <w:szCs w:val="32"/>
        </w:rPr>
        <w:t>（1）大推力线控制动与线控转向执行器研发：研</w:t>
      </w:r>
      <w:r>
        <w:rPr>
          <w:rFonts w:ascii="仿宋_GB2312" w:eastAsia="仿宋_GB2312" w:hAnsi="仿宋_GB2312" w:cs="仿宋_GB2312" w:hint="eastAsia"/>
          <w:sz w:val="32"/>
          <w:szCs w:val="32"/>
        </w:rPr>
        <w:lastRenderedPageBreak/>
        <w:t>究高集成、高强度、大推力等多维复杂约束下的线控制动、线控转向执行器多目标优化方法，研究高精度、高动态线控执行技术；（2）复杂工况下线控底盘状态智能感知技术及智能控制方法研究：研究融合智能驾驶多模态感知数据的商用车线控底盘关键状态估计方法，开发多源扰动激励下商用车线控底盘多执行器多目标协同的横纵向</w:t>
      </w:r>
      <w:r>
        <w:rPr>
          <w:rFonts w:ascii="Times New Roman" w:eastAsia="仿宋_GB2312" w:hAnsi="Times New Roman"/>
          <w:sz w:val="32"/>
          <w:szCs w:val="32"/>
        </w:rPr>
        <w:t>耦合控制策略，构建从感知决策到底层执行的线控底盘智能控制方法；</w:t>
      </w:r>
      <w:r>
        <w:rPr>
          <w:rFonts w:ascii="仿宋_GB2312" w:eastAsia="仿宋_GB2312" w:hAnsi="仿宋_GB2312" w:cs="仿宋_GB2312" w:hint="eastAsia"/>
          <w:sz w:val="32"/>
          <w:szCs w:val="32"/>
        </w:rPr>
        <w:t>（3）</w:t>
      </w:r>
      <w:r>
        <w:rPr>
          <w:rFonts w:ascii="Times New Roman" w:eastAsia="仿宋_GB2312" w:hAnsi="Times New Roman"/>
          <w:sz w:val="32"/>
          <w:szCs w:val="32"/>
        </w:rPr>
        <w:t>轻型商用车智能线控底盘集成与验证技术研究：研究可实现冗余备份的轻型商用车底盘集成技术，形成智能线控底盘从台架测试、硬件在环仿真、实车道路测试的全场景、多维度测试技术。</w:t>
      </w:r>
    </w:p>
    <w:p w14:paraId="36C74867" w14:textId="77777777" w:rsidR="006A7F0D" w:rsidRDefault="00000000">
      <w:pPr>
        <w:pStyle w:val="a0"/>
        <w:spacing w:after="0"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考核指标：</w:t>
      </w:r>
      <w:r>
        <w:rPr>
          <w:rFonts w:ascii="仿宋_GB2312" w:eastAsia="仿宋_GB2312" w:hAnsi="仿宋_GB2312" w:cs="仿宋_GB2312" w:hint="eastAsia"/>
          <w:sz w:val="32"/>
          <w:szCs w:val="32"/>
        </w:rPr>
        <w:t>线控转向60km/h车速时等效方向盘转角响应延迟时间≤120ms、控制稳态误差≤3%、控制超调量≤10%，线控制动系统压力响应时间≤200ms、控制稳态误差≤0.15MPa，最大建压能力≥14MPa、最大推力≥10000N；60km/h对开路面紧急制动工况下车辆横向位置误差≤0.8m，麋鹿工况最高通过车速较传统ESC控制提升5km/h，满载80km/h车速时制动距离≤32m；智能线控底盘实现电源、通信、制动冗余，行车制动冗余切换时间≤150ms，智能线控底盘硬件在环测试用例数量≥5000例。项目执行期内智能线控底盘及执行器产品累计产值≥1.5亿元。</w:t>
      </w:r>
    </w:p>
    <w:p w14:paraId="01C99FDB" w14:textId="77777777" w:rsidR="006A7F0D" w:rsidRDefault="00000000">
      <w:pPr>
        <w:pStyle w:val="a5"/>
        <w:ind w:firstLineChars="200" w:firstLine="640"/>
        <w:rPr>
          <w:rFonts w:eastAsia="黑体"/>
          <w:sz w:val="32"/>
          <w:szCs w:val="32"/>
        </w:rPr>
      </w:pPr>
      <w:r>
        <w:rPr>
          <w:rFonts w:eastAsia="仿宋_GB2312"/>
          <w:sz w:val="32"/>
          <w:szCs w:val="32"/>
        </w:rPr>
        <w:t>有关说明</w:t>
      </w:r>
      <w:r>
        <w:rPr>
          <w:rFonts w:eastAsia="仿宋_GB2312"/>
          <w:sz w:val="32"/>
          <w:szCs w:val="32"/>
        </w:rPr>
        <w:t>:</w:t>
      </w:r>
      <w:r>
        <w:rPr>
          <w:rFonts w:eastAsia="仿宋_GB2312"/>
          <w:sz w:val="32"/>
          <w:szCs w:val="32"/>
        </w:rPr>
        <w:t>本指南方向省财政引导经费</w:t>
      </w:r>
      <w:r>
        <w:rPr>
          <w:rFonts w:eastAsia="仿宋_GB2312" w:hint="eastAsia"/>
          <w:sz w:val="32"/>
          <w:szCs w:val="32"/>
        </w:rPr>
        <w:t>300-</w:t>
      </w:r>
      <w:r>
        <w:rPr>
          <w:rFonts w:eastAsia="仿宋_GB2312"/>
          <w:sz w:val="32"/>
          <w:szCs w:val="32"/>
        </w:rPr>
        <w:t>700</w:t>
      </w:r>
      <w:r>
        <w:rPr>
          <w:rFonts w:eastAsia="仿宋_GB2312"/>
          <w:sz w:val="32"/>
          <w:szCs w:val="32"/>
        </w:rPr>
        <w:t>万元</w:t>
      </w:r>
      <w:r>
        <w:rPr>
          <w:rFonts w:eastAsia="仿宋_GB2312"/>
          <w:sz w:val="32"/>
          <w:szCs w:val="32"/>
        </w:rPr>
        <w:t>,</w:t>
      </w:r>
      <w:r>
        <w:rPr>
          <w:rFonts w:eastAsia="仿宋_GB2312"/>
          <w:sz w:val="32"/>
          <w:szCs w:val="32"/>
        </w:rPr>
        <w:t>遴选方式为公开竞争</w:t>
      </w:r>
      <w:r>
        <w:rPr>
          <w:rFonts w:eastAsia="仿宋_GB2312"/>
          <w:sz w:val="32"/>
          <w:szCs w:val="32"/>
        </w:rPr>
        <w:t>(</w:t>
      </w:r>
      <w:r>
        <w:rPr>
          <w:rFonts w:eastAsia="仿宋_GB2312"/>
          <w:sz w:val="32"/>
          <w:szCs w:val="32"/>
        </w:rPr>
        <w:t>企业牵头承担</w:t>
      </w:r>
      <w:r>
        <w:rPr>
          <w:rFonts w:eastAsia="仿宋_GB2312"/>
          <w:sz w:val="32"/>
          <w:szCs w:val="32"/>
        </w:rPr>
        <w:t>)</w:t>
      </w:r>
      <w:r>
        <w:rPr>
          <w:rFonts w:eastAsia="仿宋_GB2312"/>
          <w:sz w:val="32"/>
          <w:szCs w:val="32"/>
        </w:rPr>
        <w:t>。</w:t>
      </w:r>
    </w:p>
    <w:p w14:paraId="7BDF0D5B" w14:textId="77777777" w:rsidR="006A7F0D" w:rsidRDefault="00000000">
      <w:pPr>
        <w:pStyle w:val="a0"/>
        <w:spacing w:after="0" w:line="600"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（三）指南名称：智能驾驶轻型商用车</w:t>
      </w:r>
    </w:p>
    <w:p w14:paraId="35E51635" w14:textId="77777777" w:rsidR="006A7F0D" w:rsidRDefault="00000000">
      <w:pPr>
        <w:spacing w:line="600" w:lineRule="exact"/>
        <w:ind w:firstLineChars="200" w:firstLine="643"/>
        <w:rPr>
          <w:rFonts w:eastAsia="仿宋_GB2312"/>
          <w:sz w:val="32"/>
          <w:szCs w:val="32"/>
          <w:highlight w:val="yellow"/>
        </w:rPr>
      </w:pPr>
      <w:r>
        <w:rPr>
          <w:rFonts w:eastAsia="仿宋_GB2312"/>
          <w:b/>
          <w:bCs/>
          <w:sz w:val="32"/>
          <w:szCs w:val="32"/>
        </w:rPr>
        <w:lastRenderedPageBreak/>
        <w:t>研究内容</w:t>
      </w:r>
      <w:r>
        <w:rPr>
          <w:rFonts w:eastAsia="仿宋_GB2312"/>
          <w:sz w:val="32"/>
          <w:szCs w:val="32"/>
        </w:rPr>
        <w:t>：</w:t>
      </w:r>
      <w:r>
        <w:rPr>
          <w:rFonts w:ascii="仿宋_GB2312" w:eastAsia="仿宋_GB2312" w:hAnsi="仿宋_GB2312" w:cs="仿宋_GB2312" w:hint="eastAsia"/>
          <w:sz w:val="32"/>
          <w:szCs w:val="32"/>
        </w:rPr>
        <w:t>（1）基于服务化电子电气架构的整车集成及平台化开发：针对各商用车车型智驾系统平台化需求，嵌入SOA服务技术，打造可平台化移植的整车架构平台；（2）智能驾驶商用车安全冗余控制机制研究：开展智驾轻型商用车的</w:t>
      </w:r>
      <w:r>
        <w:rPr>
          <w:rFonts w:eastAsia="仿宋_GB2312"/>
          <w:sz w:val="32"/>
          <w:szCs w:val="32"/>
        </w:rPr>
        <w:t>系统性运动安全分析，研究融合传感器的感知结果校验方法、协同规划控制器的安全约束边界及冗余大推力执行器切换逻辑，构建一套完善的安全冗余控制机制。研究行车制动故障失效机制，实现整车连续控制；</w:t>
      </w:r>
      <w:r>
        <w:rPr>
          <w:rFonts w:ascii="仿宋_GB2312" w:eastAsia="仿宋_GB2312" w:hAnsi="仿宋_GB2312" w:cs="仿宋_GB2312" w:hint="eastAsia"/>
          <w:sz w:val="32"/>
          <w:szCs w:val="32"/>
        </w:rPr>
        <w:t>（3）</w:t>
      </w:r>
      <w:r>
        <w:rPr>
          <w:rFonts w:eastAsia="仿宋_GB2312"/>
          <w:sz w:val="32"/>
          <w:szCs w:val="32"/>
        </w:rPr>
        <w:t>开发轻型商用车全时空数据闭环系统：研究</w:t>
      </w:r>
      <w:r>
        <w:rPr>
          <w:rFonts w:eastAsia="仿宋_GB2312"/>
          <w:sz w:val="32"/>
          <w:szCs w:val="32"/>
        </w:rPr>
        <w:t>“</w:t>
      </w:r>
      <w:r>
        <w:rPr>
          <w:rFonts w:eastAsia="仿宋_GB2312"/>
          <w:sz w:val="32"/>
          <w:szCs w:val="32"/>
        </w:rPr>
        <w:t>车、云、本地</w:t>
      </w:r>
      <w:r>
        <w:rPr>
          <w:rFonts w:eastAsia="仿宋_GB2312"/>
          <w:sz w:val="32"/>
          <w:szCs w:val="32"/>
        </w:rPr>
        <w:t>”</w:t>
      </w:r>
      <w:r>
        <w:rPr>
          <w:rFonts w:eastAsia="仿宋_GB2312"/>
          <w:sz w:val="32"/>
          <w:szCs w:val="32"/>
        </w:rPr>
        <w:t>一体化的数据闭环管理技术，实现海量数据自动化流转，突破数据采集等存在高时延和并发计算性能瓶颈，提高数据灵活采集配置能力。</w:t>
      </w:r>
    </w:p>
    <w:p w14:paraId="25D14493" w14:textId="77777777" w:rsidR="006A7F0D" w:rsidRDefault="00000000">
      <w:pPr>
        <w:spacing w:line="600" w:lineRule="exact"/>
        <w:ind w:firstLineChars="200" w:firstLine="643"/>
        <w:rPr>
          <w:rFonts w:eastAsia="仿宋_GB2312"/>
          <w:sz w:val="32"/>
          <w:szCs w:val="32"/>
        </w:rPr>
      </w:pPr>
      <w:r>
        <w:rPr>
          <w:rFonts w:eastAsia="仿宋_GB2312"/>
          <w:b/>
          <w:bCs/>
          <w:sz w:val="32"/>
          <w:szCs w:val="32"/>
        </w:rPr>
        <w:t>考核指标</w:t>
      </w:r>
      <w:r>
        <w:rPr>
          <w:rFonts w:eastAsia="仿宋_GB2312"/>
          <w:sz w:val="32"/>
          <w:szCs w:val="32"/>
        </w:rPr>
        <w:t>：</w:t>
      </w:r>
      <w:r>
        <w:rPr>
          <w:rFonts w:ascii="仿宋_GB2312" w:eastAsia="仿宋_GB2312" w:hAnsi="仿宋_GB2312" w:cs="仿宋_GB2312" w:hint="eastAsia"/>
          <w:sz w:val="32"/>
          <w:szCs w:val="32"/>
        </w:rPr>
        <w:t>整车网络通信带宽≥7TB/h，技术平台化SOA微服务数量≥180个；制动故障冗余切换时间≤200ms，冗余最大制动减速度≥0.6g；AEB车速≥90km/h时，实现对12km/h前车有效避撞；城市道路场景下，平均接管里程MPI≥100km，综合变道成功率≥95%；数据闭环云端支持100Gbps+数据吞吐。项目执行期内智能驾驶轻型商用车累计产值≥60亿元。</w:t>
      </w:r>
    </w:p>
    <w:p w14:paraId="57050796" w14:textId="77777777" w:rsidR="006A7F0D" w:rsidRDefault="00000000">
      <w:pPr>
        <w:spacing w:line="600" w:lineRule="exact"/>
        <w:ind w:firstLineChars="200" w:firstLine="640"/>
      </w:pPr>
      <w:r>
        <w:rPr>
          <w:rFonts w:eastAsia="仿宋_GB2312"/>
          <w:sz w:val="32"/>
          <w:szCs w:val="32"/>
        </w:rPr>
        <w:t>有关说明</w:t>
      </w:r>
      <w:r>
        <w:rPr>
          <w:rFonts w:eastAsia="仿宋_GB2312"/>
          <w:sz w:val="32"/>
          <w:szCs w:val="32"/>
        </w:rPr>
        <w:t>:</w:t>
      </w:r>
      <w:r>
        <w:rPr>
          <w:rFonts w:eastAsia="仿宋_GB2312"/>
          <w:sz w:val="32"/>
          <w:szCs w:val="32"/>
        </w:rPr>
        <w:t>本指南方向省财政引导经费</w:t>
      </w:r>
      <w:r>
        <w:rPr>
          <w:rFonts w:eastAsia="仿宋_GB2312" w:hint="eastAsia"/>
          <w:sz w:val="32"/>
          <w:szCs w:val="32"/>
        </w:rPr>
        <w:t>300-</w:t>
      </w:r>
      <w:r>
        <w:rPr>
          <w:rFonts w:eastAsia="仿宋_GB2312"/>
          <w:sz w:val="32"/>
          <w:szCs w:val="32"/>
        </w:rPr>
        <w:t>700</w:t>
      </w:r>
      <w:r>
        <w:rPr>
          <w:rFonts w:eastAsia="仿宋_GB2312"/>
          <w:sz w:val="32"/>
          <w:szCs w:val="32"/>
        </w:rPr>
        <w:t>万元</w:t>
      </w:r>
      <w:r>
        <w:rPr>
          <w:rFonts w:eastAsia="仿宋_GB2312"/>
          <w:sz w:val="32"/>
          <w:szCs w:val="32"/>
        </w:rPr>
        <w:t>,</w:t>
      </w:r>
      <w:r>
        <w:rPr>
          <w:rFonts w:eastAsia="仿宋_GB2312"/>
          <w:sz w:val="32"/>
          <w:szCs w:val="32"/>
        </w:rPr>
        <w:t>遴选方式为</w:t>
      </w:r>
      <w:r>
        <w:rPr>
          <w:rFonts w:eastAsia="仿宋_GB2312" w:hint="eastAsia"/>
          <w:sz w:val="32"/>
          <w:szCs w:val="32"/>
        </w:rPr>
        <w:t>直接</w:t>
      </w:r>
      <w:r>
        <w:rPr>
          <w:rFonts w:eastAsia="仿宋_GB2312"/>
          <w:sz w:val="32"/>
          <w:szCs w:val="32"/>
        </w:rPr>
        <w:t>委托</w:t>
      </w:r>
      <w:r>
        <w:rPr>
          <w:rFonts w:eastAsia="仿宋_GB2312" w:hint="eastAsia"/>
          <w:sz w:val="32"/>
          <w:szCs w:val="32"/>
        </w:rPr>
        <w:t>，</w:t>
      </w:r>
      <w:r>
        <w:rPr>
          <w:rFonts w:eastAsia="仿宋_GB2312"/>
          <w:sz w:val="32"/>
          <w:szCs w:val="32"/>
        </w:rPr>
        <w:t>牵头单位</w:t>
      </w:r>
      <w:r>
        <w:rPr>
          <w:rFonts w:eastAsia="仿宋_GB2312" w:hint="eastAsia"/>
          <w:sz w:val="32"/>
          <w:szCs w:val="32"/>
        </w:rPr>
        <w:t>为</w:t>
      </w:r>
      <w:r>
        <w:rPr>
          <w:rFonts w:eastAsia="仿宋_GB2312"/>
          <w:sz w:val="32"/>
          <w:szCs w:val="32"/>
        </w:rPr>
        <w:t>江铃汽车股份有限公司</w:t>
      </w:r>
      <w:r>
        <w:rPr>
          <w:rFonts w:eastAsia="仿宋_GB2312" w:hint="eastAsia"/>
          <w:sz w:val="32"/>
          <w:szCs w:val="32"/>
        </w:rPr>
        <w:t>。</w:t>
      </w:r>
    </w:p>
    <w:p w14:paraId="1F5FF874" w14:textId="77777777" w:rsidR="006A7F0D" w:rsidRDefault="00000000">
      <w:pPr>
        <w:pStyle w:val="a0"/>
        <w:spacing w:after="0" w:line="600" w:lineRule="exact"/>
        <w:ind w:firstLineChars="200" w:firstLine="640"/>
        <w:rPr>
          <w:rFonts w:ascii="Times New Roman" w:eastAsia="黑体" w:hAnsi="Times New Roman" w:cs="Times New Roman"/>
          <w:sz w:val="32"/>
          <w:szCs w:val="32"/>
          <w:lang w:val="en"/>
        </w:rPr>
      </w:pPr>
      <w:r>
        <w:rPr>
          <w:rFonts w:ascii="Times New Roman" w:eastAsia="黑体" w:hAnsi="Times New Roman" w:cs="Times New Roman" w:hint="eastAsia"/>
          <w:sz w:val="32"/>
          <w:szCs w:val="32"/>
        </w:rPr>
        <w:t>三</w:t>
      </w:r>
      <w:r>
        <w:rPr>
          <w:rFonts w:ascii="Times New Roman" w:eastAsia="黑体" w:hAnsi="Times New Roman" w:cs="Times New Roman"/>
          <w:sz w:val="32"/>
          <w:szCs w:val="32"/>
        </w:rPr>
        <w:t>、</w:t>
      </w:r>
      <w:r>
        <w:rPr>
          <w:rFonts w:ascii="Times New Roman" w:eastAsia="黑体" w:hAnsi="Times New Roman" w:cs="Times New Roman"/>
          <w:sz w:val="32"/>
          <w:szCs w:val="32"/>
        </w:rPr>
        <w:t>“</w:t>
      </w:r>
      <w:r>
        <w:rPr>
          <w:rFonts w:ascii="Times New Roman" w:eastAsia="黑体" w:hAnsi="Times New Roman" w:cs="Times New Roman"/>
          <w:sz w:val="32"/>
          <w:szCs w:val="32"/>
        </w:rPr>
        <w:t>四代堆用关键金属铼的高纯富集及极端高温辐照下的规模化应用</w:t>
      </w:r>
      <w:r>
        <w:rPr>
          <w:rFonts w:ascii="Times New Roman" w:eastAsia="黑体" w:hAnsi="Times New Roman" w:cs="Times New Roman"/>
          <w:sz w:val="32"/>
          <w:szCs w:val="32"/>
        </w:rPr>
        <w:t>”</w:t>
      </w:r>
      <w:r>
        <w:rPr>
          <w:rFonts w:ascii="Times New Roman" w:eastAsia="黑体" w:hAnsi="Times New Roman" w:cs="Times New Roman"/>
          <w:sz w:val="32"/>
          <w:szCs w:val="32"/>
        </w:rPr>
        <w:t>专项</w:t>
      </w:r>
      <w:r>
        <w:rPr>
          <w:rFonts w:ascii="Times New Roman" w:eastAsia="黑体" w:hAnsi="Times New Roman" w:cs="Times New Roman" w:hint="eastAsia"/>
          <w:sz w:val="32"/>
          <w:szCs w:val="32"/>
        </w:rPr>
        <w:t>申报指南</w:t>
      </w:r>
    </w:p>
    <w:p w14:paraId="1C2BDCAC" w14:textId="77777777" w:rsidR="006A7F0D" w:rsidRDefault="00000000">
      <w:pPr>
        <w:pStyle w:val="a0"/>
        <w:spacing w:after="0" w:line="600"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指南名称：</w:t>
      </w:r>
      <w:r>
        <w:rPr>
          <w:rFonts w:ascii="Times New Roman" w:eastAsia="楷体_GB2312" w:hAnsi="Times New Roman" w:cs="Times New Roman"/>
          <w:b/>
          <w:bCs/>
          <w:sz w:val="32"/>
          <w:szCs w:val="32"/>
        </w:rPr>
        <w:t>6N</w:t>
      </w:r>
      <w:r>
        <w:rPr>
          <w:rFonts w:ascii="Times New Roman" w:eastAsia="楷体_GB2312" w:hAnsi="Times New Roman" w:cs="Times New Roman"/>
          <w:b/>
          <w:bCs/>
          <w:sz w:val="32"/>
          <w:szCs w:val="32"/>
        </w:rPr>
        <w:t>级超高纯铼金属制备关键技术与装备研发</w:t>
      </w:r>
    </w:p>
    <w:p w14:paraId="3DCC62C8" w14:textId="77777777" w:rsidR="006A7F0D" w:rsidRDefault="00000000">
      <w:pPr>
        <w:spacing w:line="600" w:lineRule="exact"/>
        <w:ind w:firstLineChars="200" w:firstLine="643"/>
        <w:rPr>
          <w:rFonts w:eastAsia="仿宋_GB2312"/>
          <w:sz w:val="32"/>
          <w:szCs w:val="32"/>
        </w:rPr>
      </w:pPr>
      <w:r>
        <w:rPr>
          <w:rFonts w:eastAsia="仿宋_GB2312"/>
          <w:b/>
          <w:bCs/>
          <w:sz w:val="32"/>
          <w:szCs w:val="32"/>
        </w:rPr>
        <w:lastRenderedPageBreak/>
        <w:t>研究内容：</w:t>
      </w:r>
      <w:r>
        <w:rPr>
          <w:rFonts w:eastAsia="仿宋_GB2312"/>
          <w:color w:val="000000"/>
          <w:kern w:val="0"/>
          <w:sz w:val="32"/>
          <w:szCs w:val="32"/>
          <w:lang w:bidi="ar"/>
        </w:rPr>
        <w:t>面向核工业、航空航天、信息技术等领域对高纯铼金属的重大战略需求，针对高纯铼金属制备过程中存在杂质深度脱除难、纯度不足、规模化制备技术及核心装备受限等难题，开展</w:t>
      </w:r>
      <w:r>
        <w:rPr>
          <w:rFonts w:eastAsia="仿宋_GB2312"/>
          <w:color w:val="000000"/>
          <w:kern w:val="0"/>
          <w:sz w:val="32"/>
          <w:szCs w:val="32"/>
          <w:lang w:bidi="ar"/>
        </w:rPr>
        <w:t>6N</w:t>
      </w:r>
      <w:r>
        <w:rPr>
          <w:rFonts w:eastAsia="仿宋_GB2312"/>
          <w:color w:val="000000"/>
          <w:kern w:val="0"/>
          <w:sz w:val="32"/>
          <w:szCs w:val="32"/>
          <w:lang w:bidi="ar"/>
        </w:rPr>
        <w:t>级超高纯铼金属制备关键技术与装备研发。主要在铼盐冶金粗级富集提取基础上，解析铼盐中杂质元素的赋存状态及溶解</w:t>
      </w:r>
      <w:r>
        <w:rPr>
          <w:rFonts w:eastAsia="仿宋_GB2312"/>
          <w:color w:val="000000"/>
          <w:kern w:val="0"/>
          <w:sz w:val="32"/>
          <w:szCs w:val="32"/>
          <w:lang w:bidi="ar"/>
        </w:rPr>
        <w:t>-</w:t>
      </w:r>
      <w:r>
        <w:rPr>
          <w:rFonts w:eastAsia="仿宋_GB2312"/>
          <w:color w:val="000000"/>
          <w:kern w:val="0"/>
          <w:sz w:val="32"/>
          <w:szCs w:val="32"/>
          <w:lang w:bidi="ar"/>
        </w:rPr>
        <w:t>析出规律；研究铼盐纯化过程中杂质的迁移转化及界面调控机制；揭示铼金属熔池温度场、真空度与杂质扩散系数的耦合关系；阐明</w:t>
      </w:r>
      <w:r>
        <w:rPr>
          <w:rFonts w:eastAsia="仿宋_GB2312"/>
          <w:color w:val="000000"/>
          <w:kern w:val="0"/>
          <w:sz w:val="32"/>
          <w:szCs w:val="32"/>
          <w:lang w:bidi="ar"/>
        </w:rPr>
        <w:t>“</w:t>
      </w:r>
      <w:r>
        <w:rPr>
          <w:rFonts w:eastAsia="仿宋_GB2312"/>
          <w:color w:val="000000"/>
          <w:kern w:val="0"/>
          <w:sz w:val="32"/>
          <w:szCs w:val="32"/>
          <w:lang w:bidi="ar"/>
        </w:rPr>
        <w:t>电子束动态偏析</w:t>
      </w:r>
      <w:r>
        <w:rPr>
          <w:rFonts w:eastAsia="仿宋_GB2312"/>
          <w:color w:val="000000"/>
          <w:kern w:val="0"/>
          <w:sz w:val="32"/>
          <w:szCs w:val="32"/>
          <w:lang w:bidi="ar"/>
        </w:rPr>
        <w:t>-</w:t>
      </w:r>
      <w:r>
        <w:rPr>
          <w:rFonts w:eastAsia="仿宋_GB2312"/>
          <w:color w:val="000000"/>
          <w:kern w:val="0"/>
          <w:sz w:val="32"/>
          <w:szCs w:val="32"/>
          <w:lang w:bidi="ar"/>
        </w:rPr>
        <w:t>表面蒸发</w:t>
      </w:r>
      <w:r>
        <w:rPr>
          <w:rFonts w:eastAsia="仿宋_GB2312"/>
          <w:color w:val="000000"/>
          <w:kern w:val="0"/>
          <w:sz w:val="32"/>
          <w:szCs w:val="32"/>
          <w:lang w:bidi="ar"/>
        </w:rPr>
        <w:t>”</w:t>
      </w:r>
      <w:r>
        <w:rPr>
          <w:rFonts w:eastAsia="仿宋_GB2312"/>
          <w:color w:val="000000"/>
          <w:kern w:val="0"/>
          <w:sz w:val="32"/>
          <w:szCs w:val="32"/>
          <w:lang w:bidi="ar"/>
        </w:rPr>
        <w:t>的多重纯化机制；建立基于熔池表面张力</w:t>
      </w:r>
      <w:r>
        <w:rPr>
          <w:rFonts w:eastAsia="仿宋_GB2312"/>
          <w:color w:val="000000"/>
          <w:kern w:val="0"/>
          <w:sz w:val="32"/>
          <w:szCs w:val="32"/>
          <w:lang w:bidi="ar"/>
        </w:rPr>
        <w:t>-</w:t>
      </w:r>
      <w:r>
        <w:rPr>
          <w:rFonts w:eastAsia="仿宋_GB2312"/>
          <w:color w:val="000000"/>
          <w:kern w:val="0"/>
          <w:sz w:val="32"/>
          <w:szCs w:val="32"/>
          <w:lang w:bidi="ar"/>
        </w:rPr>
        <w:t>蒸发速率协同调控的动态纯化模型；研发</w:t>
      </w:r>
      <w:r>
        <w:rPr>
          <w:rFonts w:eastAsia="仿宋_GB2312"/>
          <w:color w:val="000000"/>
          <w:kern w:val="0"/>
          <w:sz w:val="32"/>
          <w:szCs w:val="32"/>
          <w:lang w:bidi="ar"/>
        </w:rPr>
        <w:t>6N</w:t>
      </w:r>
      <w:r>
        <w:rPr>
          <w:rFonts w:eastAsia="仿宋_GB2312"/>
          <w:color w:val="000000"/>
          <w:kern w:val="0"/>
          <w:sz w:val="32"/>
          <w:szCs w:val="32"/>
          <w:lang w:bidi="ar"/>
        </w:rPr>
        <w:t>级超高纯铼金属制备关键技术与核心装备。</w:t>
      </w:r>
    </w:p>
    <w:p w14:paraId="7A9B407C" w14:textId="77777777" w:rsidR="006A7F0D" w:rsidRDefault="00000000">
      <w:pPr>
        <w:adjustRightInd w:val="0"/>
        <w:snapToGrid w:val="0"/>
        <w:spacing w:line="600" w:lineRule="exact"/>
        <w:ind w:firstLineChars="200" w:firstLine="643"/>
        <w:rPr>
          <w:rFonts w:eastAsia="仿宋_GB2312"/>
          <w:sz w:val="32"/>
          <w:szCs w:val="32"/>
        </w:rPr>
      </w:pPr>
      <w:r>
        <w:rPr>
          <w:rFonts w:eastAsia="仿宋_GB2312"/>
          <w:b/>
          <w:bCs/>
          <w:sz w:val="32"/>
          <w:szCs w:val="32"/>
        </w:rPr>
        <w:t>考核指标：</w:t>
      </w:r>
      <w:r>
        <w:rPr>
          <w:rFonts w:ascii="仿宋_GB2312" w:eastAsia="仿宋_GB2312" w:hAnsi="仿宋_GB2312" w:cs="仿宋_GB2312" w:hint="eastAsia"/>
          <w:color w:val="000000"/>
          <w:kern w:val="0"/>
          <w:sz w:val="32"/>
          <w:szCs w:val="32"/>
          <w:lang w:bidi="ar"/>
        </w:rPr>
        <w:t>制备6N级超高纯铼金属产品，产品致密度≥99.9%，金属铼纯度≥99.9999%，气体杂质C含量≤5ppm、H含量≤3ppm、O含量≤10ppm、N含量≤5ppm；开发一套集成熔池三维运动与功率动态调控的智能电子束提纯新装备，研发低过饱和度可控结晶和电子束动态偏析-表面蒸发的协调纯化新技术；建成年产3吨6N级超高纯铼金属中试生产线，实现在核聚变第一壁材料和大尺寸单晶硅生长用铼舟的示范应用；实现年产值5000万元以上。</w:t>
      </w:r>
    </w:p>
    <w:p w14:paraId="44118274" w14:textId="77777777" w:rsidR="006A7F0D" w:rsidRDefault="00000000">
      <w:pPr>
        <w:pStyle w:val="a5"/>
        <w:ind w:firstLineChars="200" w:firstLine="640"/>
        <w:rPr>
          <w:rFonts w:eastAsia="黑体"/>
          <w:sz w:val="32"/>
          <w:szCs w:val="32"/>
        </w:rPr>
      </w:pPr>
      <w:r>
        <w:rPr>
          <w:rFonts w:eastAsia="仿宋_GB2312"/>
          <w:sz w:val="32"/>
          <w:szCs w:val="32"/>
        </w:rPr>
        <w:t>有关说明</w:t>
      </w:r>
      <w:r>
        <w:rPr>
          <w:rFonts w:eastAsia="仿宋_GB2312"/>
          <w:sz w:val="32"/>
          <w:szCs w:val="32"/>
        </w:rPr>
        <w:t>:</w:t>
      </w:r>
      <w:r>
        <w:rPr>
          <w:rFonts w:eastAsia="仿宋_GB2312"/>
          <w:sz w:val="32"/>
          <w:szCs w:val="32"/>
        </w:rPr>
        <w:t>本指南方向省财政引导经费</w:t>
      </w:r>
      <w:r>
        <w:rPr>
          <w:rFonts w:eastAsia="仿宋_GB2312" w:hint="eastAsia"/>
          <w:sz w:val="32"/>
          <w:szCs w:val="32"/>
        </w:rPr>
        <w:t>300-</w:t>
      </w:r>
      <w:r>
        <w:rPr>
          <w:rFonts w:eastAsia="仿宋_GB2312"/>
          <w:sz w:val="32"/>
          <w:szCs w:val="32"/>
        </w:rPr>
        <w:t>700</w:t>
      </w:r>
      <w:r>
        <w:rPr>
          <w:rFonts w:eastAsia="仿宋_GB2312"/>
          <w:sz w:val="32"/>
          <w:szCs w:val="32"/>
        </w:rPr>
        <w:t>万元</w:t>
      </w:r>
      <w:r>
        <w:rPr>
          <w:rFonts w:eastAsia="仿宋_GB2312"/>
          <w:sz w:val="32"/>
          <w:szCs w:val="32"/>
        </w:rPr>
        <w:t>,</w:t>
      </w:r>
      <w:r>
        <w:rPr>
          <w:rFonts w:eastAsia="仿宋_GB2312"/>
          <w:sz w:val="32"/>
          <w:szCs w:val="32"/>
        </w:rPr>
        <w:t>遴选方式为公开竞争</w:t>
      </w:r>
      <w:r>
        <w:rPr>
          <w:rFonts w:eastAsia="仿宋_GB2312"/>
          <w:sz w:val="32"/>
          <w:szCs w:val="32"/>
        </w:rPr>
        <w:t>(</w:t>
      </w:r>
      <w:r>
        <w:rPr>
          <w:rFonts w:eastAsia="仿宋_GB2312"/>
          <w:sz w:val="32"/>
          <w:szCs w:val="32"/>
        </w:rPr>
        <w:t>企业牵头承担</w:t>
      </w:r>
      <w:r>
        <w:rPr>
          <w:rFonts w:eastAsia="仿宋_GB2312"/>
          <w:sz w:val="32"/>
          <w:szCs w:val="32"/>
        </w:rPr>
        <w:t>)</w:t>
      </w:r>
      <w:r>
        <w:rPr>
          <w:rFonts w:eastAsia="仿宋_GB2312"/>
          <w:sz w:val="32"/>
          <w:szCs w:val="32"/>
        </w:rPr>
        <w:t>。</w:t>
      </w:r>
    </w:p>
    <w:p w14:paraId="00F405CC" w14:textId="77777777" w:rsidR="006A7F0D" w:rsidRDefault="00000000">
      <w:pPr>
        <w:ind w:firstLine="640"/>
        <w:rPr>
          <w:rFonts w:ascii="黑体" w:eastAsia="黑体" w:hAnsi="黑体" w:cs="黑体" w:hint="eastAsia"/>
          <w:sz w:val="32"/>
          <w:szCs w:val="32"/>
        </w:rPr>
      </w:pPr>
      <w:r>
        <w:rPr>
          <w:rFonts w:ascii="黑体" w:eastAsia="黑体" w:hAnsi="黑体" w:cs="黑体" w:hint="eastAsia"/>
          <w:sz w:val="32"/>
          <w:szCs w:val="32"/>
        </w:rPr>
        <w:t>四、“临床急需靶向抗肿瘤1类新药及高质量仿制药专项”专项申报指南</w:t>
      </w:r>
    </w:p>
    <w:p w14:paraId="3D361FA2" w14:textId="77777777" w:rsidR="006A7F0D" w:rsidRDefault="00000000">
      <w:pPr>
        <w:ind w:firstLine="643"/>
        <w:rPr>
          <w:rFonts w:ascii="楷体" w:eastAsia="楷体" w:hAnsi="楷体" w:cs="楷体" w:hint="eastAsia"/>
          <w:b/>
          <w:bCs/>
          <w:sz w:val="32"/>
          <w:szCs w:val="32"/>
        </w:rPr>
      </w:pPr>
      <w:r>
        <w:rPr>
          <w:rFonts w:ascii="楷体" w:eastAsia="楷体" w:hAnsi="楷体" w:cs="楷体" w:hint="eastAsia"/>
          <w:b/>
          <w:bCs/>
          <w:sz w:val="32"/>
          <w:szCs w:val="32"/>
        </w:rPr>
        <w:t>指南名称：靶向抗肿瘤1类创新药及高质量抗肿瘤仿制药的</w:t>
      </w:r>
      <w:r>
        <w:rPr>
          <w:rFonts w:ascii="楷体" w:eastAsia="楷体" w:hAnsi="楷体" w:cs="楷体" w:hint="eastAsia"/>
          <w:b/>
          <w:bCs/>
          <w:sz w:val="32"/>
          <w:szCs w:val="32"/>
        </w:rPr>
        <w:lastRenderedPageBreak/>
        <w:t>产业化开发</w:t>
      </w:r>
    </w:p>
    <w:p w14:paraId="2208AE0E" w14:textId="77777777" w:rsidR="006A7F0D" w:rsidRDefault="00000000">
      <w:pPr>
        <w:widowControl/>
        <w:ind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研究内容：</w:t>
      </w:r>
      <w:r>
        <w:rPr>
          <w:rFonts w:ascii="仿宋_GB2312" w:eastAsia="仿宋_GB2312" w:hAnsi="仿宋_GB2312" w:cs="仿宋_GB2312" w:hint="eastAsia"/>
          <w:sz w:val="32"/>
          <w:szCs w:val="32"/>
        </w:rPr>
        <w:t>聚焦</w:t>
      </w:r>
      <w:r>
        <w:rPr>
          <w:rFonts w:ascii="仿宋_GB2312" w:eastAsia="仿宋_GB2312" w:hAnsi="仿宋_GB2312" w:cs="仿宋_GB2312" w:hint="eastAsia"/>
          <w:color w:val="000000"/>
          <w:kern w:val="0"/>
          <w:sz w:val="32"/>
          <w:szCs w:val="32"/>
          <w:lang w:bidi="ar"/>
        </w:rPr>
        <w:t>中国人群高发肿瘤尚</w:t>
      </w:r>
      <w:r>
        <w:rPr>
          <w:rFonts w:ascii="仿宋_GB2312" w:eastAsia="仿宋_GB2312" w:hAnsi="仿宋_GB2312" w:cs="仿宋_GB2312" w:hint="eastAsia"/>
          <w:sz w:val="32"/>
          <w:szCs w:val="32"/>
        </w:rPr>
        <w:t>未满足的临床需求，开展KRAS靶点1类</w:t>
      </w:r>
      <w:r>
        <w:rPr>
          <w:rFonts w:ascii="仿宋_GB2312" w:eastAsia="仿宋_GB2312" w:hAnsi="仿宋_GB2312" w:cs="仿宋_GB2312" w:hint="eastAsia"/>
          <w:color w:val="000000"/>
          <w:kern w:val="0"/>
          <w:sz w:val="32"/>
          <w:szCs w:val="32"/>
          <w:lang w:bidi="ar"/>
        </w:rPr>
        <w:t>化学创新药及3-4项高质量仿制药的研发。</w:t>
      </w:r>
      <w:r>
        <w:rPr>
          <w:rFonts w:ascii="仿宋_GB2312" w:eastAsia="仿宋_GB2312" w:hAnsi="仿宋_GB2312" w:cs="仿宋_GB2312" w:hint="eastAsia"/>
          <w:sz w:val="32"/>
          <w:szCs w:val="32"/>
        </w:rPr>
        <w:t>针对创新药工艺放大难、成本高、合成效率低等产业化问题，开展原料药合成、手性纯化、杂质控制以及制剂配制、灌封、无菌控制等关键技术研究，建立安全可控、绿色经济的产业化工艺路线，通过商业化规模的工艺验证实现产业化，保障药物的安全性、有效性。针对原研靶向抗肿瘤药物价格昂贵、患者可及性差等问题，开展抗肿瘤仿制药原料药合成、制剂流化床制粒等产业化关键技术研究，实现与原研药质量疗效一致。开展质量研究，建立起始物料、中间体及成品质量标准，原料药和制剂商业化生产线符合GMP要求。</w:t>
      </w:r>
    </w:p>
    <w:p w14:paraId="0208215D" w14:textId="77777777" w:rsidR="006A7F0D" w:rsidRDefault="00000000">
      <w:pPr>
        <w:ind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考核指标：</w:t>
      </w:r>
      <w:r>
        <w:rPr>
          <w:rFonts w:ascii="仿宋_GB2312" w:eastAsia="仿宋_GB2312" w:hAnsi="仿宋_GB2312" w:cs="仿宋_GB2312" w:hint="eastAsia"/>
          <w:sz w:val="32"/>
          <w:szCs w:val="32"/>
        </w:rPr>
        <w:t>完成靶向抗肿瘤1类创新药注册申请并获得注册受理通知书1项。取得2-3个仿制药原料药上市申请批准通知书，取得3-4个仿制药药品注册证书。建立创新药起始物料、中间体、原料药及制剂企业质量标准3-5项。申请2-3项中国发明专利。</w:t>
      </w:r>
    </w:p>
    <w:p w14:paraId="3484DD23" w14:textId="77777777" w:rsidR="006A7F0D" w:rsidRDefault="00000000">
      <w:pPr>
        <w:pStyle w:val="a5"/>
        <w:ind w:firstLineChars="200" w:firstLine="640"/>
        <w:rPr>
          <w:rFonts w:eastAsia="黑体"/>
          <w:sz w:val="32"/>
          <w:szCs w:val="32"/>
        </w:rPr>
      </w:pPr>
      <w:r>
        <w:rPr>
          <w:rFonts w:eastAsia="仿宋_GB2312"/>
          <w:sz w:val="32"/>
          <w:szCs w:val="32"/>
        </w:rPr>
        <w:t>有关说明</w:t>
      </w:r>
      <w:r>
        <w:rPr>
          <w:rFonts w:eastAsia="仿宋_GB2312"/>
          <w:sz w:val="32"/>
          <w:szCs w:val="32"/>
        </w:rPr>
        <w:t>:</w:t>
      </w:r>
      <w:r>
        <w:rPr>
          <w:rFonts w:eastAsia="仿宋_GB2312"/>
          <w:sz w:val="32"/>
          <w:szCs w:val="32"/>
        </w:rPr>
        <w:t>本指南方向省财政引导经费</w:t>
      </w:r>
      <w:r>
        <w:rPr>
          <w:rFonts w:eastAsia="仿宋_GB2312" w:hint="eastAsia"/>
          <w:sz w:val="32"/>
          <w:szCs w:val="32"/>
        </w:rPr>
        <w:t>300-</w:t>
      </w:r>
      <w:r>
        <w:rPr>
          <w:rFonts w:eastAsia="仿宋_GB2312"/>
          <w:sz w:val="32"/>
          <w:szCs w:val="32"/>
        </w:rPr>
        <w:t>700</w:t>
      </w:r>
      <w:r>
        <w:rPr>
          <w:rFonts w:eastAsia="仿宋_GB2312"/>
          <w:sz w:val="32"/>
          <w:szCs w:val="32"/>
        </w:rPr>
        <w:t>万元</w:t>
      </w:r>
      <w:r>
        <w:rPr>
          <w:rFonts w:eastAsia="仿宋_GB2312"/>
          <w:sz w:val="32"/>
          <w:szCs w:val="32"/>
        </w:rPr>
        <w:t>,</w:t>
      </w:r>
      <w:r>
        <w:rPr>
          <w:rFonts w:eastAsia="仿宋_GB2312"/>
          <w:sz w:val="32"/>
          <w:szCs w:val="32"/>
        </w:rPr>
        <w:t>遴选方式为公开竞争</w:t>
      </w:r>
      <w:r>
        <w:rPr>
          <w:rFonts w:eastAsia="仿宋_GB2312"/>
          <w:sz w:val="32"/>
          <w:szCs w:val="32"/>
        </w:rPr>
        <w:t>(</w:t>
      </w:r>
      <w:r>
        <w:rPr>
          <w:rFonts w:eastAsia="仿宋_GB2312"/>
          <w:sz w:val="32"/>
          <w:szCs w:val="32"/>
        </w:rPr>
        <w:t>企业牵头承担</w:t>
      </w:r>
      <w:r>
        <w:rPr>
          <w:rFonts w:eastAsia="仿宋_GB2312"/>
          <w:sz w:val="32"/>
          <w:szCs w:val="32"/>
        </w:rPr>
        <w:t>)</w:t>
      </w:r>
      <w:r>
        <w:rPr>
          <w:rFonts w:eastAsia="仿宋_GB2312"/>
          <w:sz w:val="32"/>
          <w:szCs w:val="32"/>
        </w:rPr>
        <w:t>。</w:t>
      </w:r>
    </w:p>
    <w:p w14:paraId="61958A1B" w14:textId="77777777" w:rsidR="006A7F0D" w:rsidRDefault="006A7F0D">
      <w:pPr>
        <w:pStyle w:val="a5"/>
        <w:spacing w:line="600" w:lineRule="exact"/>
        <w:rPr>
          <w:rFonts w:eastAsia="黑体"/>
          <w:sz w:val="32"/>
          <w:szCs w:val="32"/>
        </w:rPr>
        <w:sectPr w:rsidR="006A7F0D">
          <w:footerReference w:type="even" r:id="rId6"/>
          <w:footerReference w:type="default" r:id="rId7"/>
          <w:pgSz w:w="11906" w:h="16838"/>
          <w:pgMar w:top="1701" w:right="1417" w:bottom="1701" w:left="1417" w:header="851" w:footer="1417" w:gutter="0"/>
          <w:cols w:space="720"/>
          <w:docGrid w:type="lines" w:linePitch="312"/>
        </w:sectPr>
      </w:pPr>
    </w:p>
    <w:p w14:paraId="18245912" w14:textId="77777777" w:rsidR="006A7F0D" w:rsidRDefault="00000000">
      <w:pPr>
        <w:pStyle w:val="a5"/>
        <w:ind w:firstLineChars="200" w:firstLine="640"/>
        <w:rPr>
          <w:rFonts w:ascii="黑体" w:eastAsia="黑体" w:hAnsi="黑体" w:cs="黑体" w:hint="eastAsia"/>
          <w:sz w:val="32"/>
          <w:szCs w:val="32"/>
        </w:rPr>
      </w:pPr>
      <w:r>
        <w:rPr>
          <w:rFonts w:ascii="黑体" w:eastAsia="黑体" w:hAnsi="黑体" w:cs="黑体" w:hint="eastAsia"/>
          <w:sz w:val="32"/>
          <w:szCs w:val="32"/>
        </w:rPr>
        <w:lastRenderedPageBreak/>
        <w:t>五、“注射级疫苗佐剂核心原料”专项申报指南</w:t>
      </w:r>
    </w:p>
    <w:p w14:paraId="45B4A793" w14:textId="77777777" w:rsidR="006A7F0D" w:rsidRDefault="00000000">
      <w:pPr>
        <w:pStyle w:val="a5"/>
        <w:ind w:firstLineChars="200" w:firstLine="643"/>
        <w:rPr>
          <w:rFonts w:ascii="仿宋_GB2312" w:eastAsia="仿宋_GB2312" w:hAnsi="仿宋_GB2312" w:cs="仿宋_GB2312" w:hint="eastAsia"/>
          <w:sz w:val="32"/>
          <w:szCs w:val="32"/>
        </w:rPr>
      </w:pPr>
      <w:r>
        <w:rPr>
          <w:rFonts w:ascii="楷体" w:eastAsia="楷体" w:hAnsi="楷体" w:cs="楷体" w:hint="eastAsia"/>
          <w:b/>
          <w:bCs/>
          <w:sz w:val="32"/>
          <w:szCs w:val="32"/>
        </w:rPr>
        <w:t>指南名称:微生物源角鲨烯生物制造关键技术研发</w:t>
      </w:r>
    </w:p>
    <w:p w14:paraId="1238072C" w14:textId="77777777" w:rsidR="006A7F0D" w:rsidRDefault="00000000">
      <w:pPr>
        <w:pStyle w:val="a5"/>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研究内容:</w:t>
      </w:r>
      <w:r>
        <w:rPr>
          <w:rFonts w:ascii="仿宋_GB2312" w:eastAsia="仿宋_GB2312" w:hAnsi="仿宋_GB2312" w:cs="仿宋_GB2312" w:hint="eastAsia"/>
          <w:sz w:val="32"/>
          <w:szCs w:val="32"/>
        </w:rPr>
        <w:t xml:space="preserve"> 围绕微生物底盘细胞自身角鲨烯合成效率低、目标产品积累毒性与底盘细胞环境相容性等问题,设计人工生物合成途径,创建角鲨烯高效合成平台酵母菌株;解析工程菌产角鲨烯的合成机制,建立微生物合成角鲨烯的发酵工艺放大及高效提取技术。</w:t>
      </w:r>
    </w:p>
    <w:p w14:paraId="7C8A1983" w14:textId="77777777" w:rsidR="006A7F0D" w:rsidRDefault="00000000">
      <w:pPr>
        <w:pStyle w:val="a5"/>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考核指标:构建优产角鲨烯酵母工程菌株,摇瓶水平角鲨烯发酵产量达 1.8-2.0 g/L;中试发酵罐水平达到 10-15 g/L;建立吨级角鲨烯微生物发酵工艺生产线,角鲨烯纯度满足欧洲药典标准(纯度≥97%),申请或授权国家发明 2-3 件,起草团(行)标 1-2个。</w:t>
      </w:r>
    </w:p>
    <w:p w14:paraId="03671DDA" w14:textId="1E9065BE" w:rsidR="006A7F0D" w:rsidRDefault="00000000">
      <w:pPr>
        <w:pStyle w:val="a5"/>
        <w:ind w:firstLineChars="200" w:firstLine="640"/>
        <w:rPr>
          <w:rFonts w:eastAsia="黑体"/>
          <w:sz w:val="32"/>
          <w:szCs w:val="32"/>
        </w:rPr>
      </w:pPr>
      <w:r>
        <w:rPr>
          <w:rFonts w:eastAsia="仿宋_GB2312"/>
          <w:sz w:val="32"/>
          <w:szCs w:val="32"/>
        </w:rPr>
        <w:t>有关说明</w:t>
      </w:r>
      <w:r>
        <w:rPr>
          <w:rFonts w:eastAsia="仿宋_GB2312"/>
          <w:sz w:val="32"/>
          <w:szCs w:val="32"/>
        </w:rPr>
        <w:t>:</w:t>
      </w:r>
      <w:r>
        <w:rPr>
          <w:rFonts w:eastAsia="仿宋_GB2312"/>
          <w:sz w:val="32"/>
          <w:szCs w:val="32"/>
        </w:rPr>
        <w:t>本指南方向省财政引导经费</w:t>
      </w:r>
      <w:r>
        <w:rPr>
          <w:rFonts w:eastAsia="仿宋_GB2312" w:hint="eastAsia"/>
          <w:sz w:val="32"/>
          <w:szCs w:val="32"/>
        </w:rPr>
        <w:t>300-630</w:t>
      </w:r>
      <w:r>
        <w:rPr>
          <w:rFonts w:eastAsia="仿宋_GB2312"/>
          <w:sz w:val="32"/>
          <w:szCs w:val="32"/>
        </w:rPr>
        <w:t>万元</w:t>
      </w:r>
      <w:r>
        <w:rPr>
          <w:rFonts w:eastAsia="仿宋_GB2312"/>
          <w:sz w:val="32"/>
          <w:szCs w:val="32"/>
        </w:rPr>
        <w:t>,</w:t>
      </w:r>
      <w:r>
        <w:rPr>
          <w:rFonts w:eastAsia="仿宋_GB2312"/>
          <w:sz w:val="32"/>
          <w:szCs w:val="32"/>
        </w:rPr>
        <w:t>遴选方式为公开竞争。</w:t>
      </w:r>
    </w:p>
    <w:p w14:paraId="4E4B7E03" w14:textId="77777777" w:rsidR="006A7F0D" w:rsidRDefault="006A7F0D">
      <w:pPr>
        <w:pStyle w:val="a5"/>
        <w:rPr>
          <w:rFonts w:ascii="仿宋_GB2312" w:eastAsia="仿宋_GB2312" w:hAnsi="仿宋_GB2312" w:cs="仿宋_GB2312" w:hint="eastAsia"/>
          <w:sz w:val="32"/>
          <w:szCs w:val="32"/>
        </w:rPr>
      </w:pPr>
    </w:p>
    <w:p w14:paraId="1BDDA87C" w14:textId="77777777" w:rsidR="006A7F0D" w:rsidRDefault="006A7F0D"/>
    <w:p w14:paraId="2AE5243D" w14:textId="77777777" w:rsidR="006A7F0D" w:rsidRDefault="006A7F0D">
      <w:pPr>
        <w:pStyle w:val="a5"/>
        <w:spacing w:line="600" w:lineRule="exact"/>
        <w:jc w:val="left"/>
        <w:rPr>
          <w:rFonts w:eastAsia="黑体"/>
          <w:color w:val="000000"/>
          <w:kern w:val="0"/>
          <w:sz w:val="32"/>
          <w:szCs w:val="32"/>
          <w:lang w:bidi="ar"/>
        </w:rPr>
      </w:pPr>
    </w:p>
    <w:p w14:paraId="3D36E4FB" w14:textId="77777777" w:rsidR="006A7F0D" w:rsidRDefault="006A7F0D">
      <w:pPr>
        <w:spacing w:line="600" w:lineRule="exact"/>
        <w:rPr>
          <w:sz w:val="32"/>
          <w:szCs w:val="32"/>
        </w:rPr>
      </w:pPr>
    </w:p>
    <w:p w14:paraId="39C76290" w14:textId="77777777" w:rsidR="006A7F0D" w:rsidRDefault="006A7F0D"/>
    <w:sectPr w:rsidR="006A7F0D">
      <w:pgSz w:w="11906" w:h="16838"/>
      <w:pgMar w:top="1701" w:right="1417" w:bottom="1701" w:left="1417" w:header="851" w:footer="141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15868" w14:textId="77777777" w:rsidR="00343248" w:rsidRDefault="00343248">
      <w:r>
        <w:separator/>
      </w:r>
    </w:p>
  </w:endnote>
  <w:endnote w:type="continuationSeparator" w:id="0">
    <w:p w14:paraId="61D489EA" w14:textId="77777777" w:rsidR="00343248" w:rsidRDefault="0034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303C402-E033-4761-8F0D-FA785C025F0F}"/>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B04E05F8-3DDE-4804-BF14-26118B762CE5}"/>
    <w:embedBold r:id="rId3" w:fontKey="{7747EA2A-4D28-47A4-B33C-5C38C666A53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4" w:subsetted="1" w:fontKey="{71171202-7C5E-4CE2-A14B-B1599EC5A96D}"/>
  </w:font>
  <w:font w:name="方正小标宋_GBK">
    <w:charset w:val="86"/>
    <w:family w:val="auto"/>
    <w:pitch w:val="default"/>
    <w:sig w:usb0="A00002BF" w:usb1="38CF7CFA" w:usb2="00082016" w:usb3="00000000" w:csb0="00040001" w:csb1="00000000"/>
  </w:font>
  <w:font w:name="方正小标宋简体">
    <w:charset w:val="86"/>
    <w:family w:val="auto"/>
    <w:pitch w:val="default"/>
    <w:sig w:usb0="00000001" w:usb1="08000000" w:usb2="00000000" w:usb3="00000000" w:csb0="00040000" w:csb1="00000000"/>
    <w:embedRegular r:id="rId5" w:subsetted="1" w:fontKey="{96C94EF0-0D2E-4B0F-9567-6805ABB4F9D7}"/>
  </w:font>
  <w:font w:name="楷体_GB2312">
    <w:altName w:val="楷体"/>
    <w:charset w:val="86"/>
    <w:family w:val="auto"/>
    <w:pitch w:val="default"/>
    <w:sig w:usb0="00000000" w:usb1="00000000" w:usb2="00000000" w:usb3="00000000" w:csb0="00040000" w:csb1="00000000"/>
    <w:embedBold r:id="rId6" w:subsetted="1" w:fontKey="{7C55ABB4-7673-4E1C-BA29-5E136C63D6ED}"/>
  </w:font>
  <w:font w:name="仿宋_GB2312">
    <w:altName w:val="仿宋"/>
    <w:panose1 w:val="02010609030101010101"/>
    <w:charset w:val="86"/>
    <w:family w:val="modern"/>
    <w:pitch w:val="fixed"/>
    <w:sig w:usb0="00000001" w:usb1="080E0000" w:usb2="00000010" w:usb3="00000000" w:csb0="00040000" w:csb1="00000000"/>
    <w:embedRegular r:id="rId7" w:subsetted="1" w:fontKey="{4B96070D-10B1-487D-9FD7-74AB39D30E1F}"/>
    <w:embedBold r:id="rId8" w:subsetted="1" w:fontKey="{DDA5F775-7CA7-4DAA-96BB-528813F9623D}"/>
  </w:font>
  <w:font w:name="楷体">
    <w:panose1 w:val="02010609060101010101"/>
    <w:charset w:val="86"/>
    <w:family w:val="modern"/>
    <w:pitch w:val="fixed"/>
    <w:sig w:usb0="800002BF" w:usb1="38CF7CFA" w:usb2="00000016" w:usb3="00000000" w:csb0="00040001" w:csb1="00000000"/>
    <w:embedBold r:id="rId9" w:subsetted="1" w:fontKey="{AD54398A-A050-4271-B1CE-4CD0558573F5}"/>
  </w:font>
  <w:font w:name="Calibri Light">
    <w:panose1 w:val="020F0302020204030204"/>
    <w:charset w:val="00"/>
    <w:family w:val="swiss"/>
    <w:pitch w:val="variable"/>
    <w:sig w:usb0="E4002EFF" w:usb1="C000247B" w:usb2="00000009" w:usb3="00000000" w:csb0="000001FF" w:csb1="00000000"/>
    <w:embedRegular r:id="rId10" w:fontKey="{65C97D7A-B22D-4A30-8376-84B5DCE46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818D" w14:textId="77777777" w:rsidR="006A7F0D" w:rsidRDefault="00000000">
    <w:pPr>
      <w:pStyle w:val="a6"/>
    </w:pPr>
    <w:r>
      <w:rPr>
        <w:rStyle w:val="a7"/>
        <w:sz w:val="28"/>
        <w:szCs w:val="28"/>
      </w:rPr>
      <w:t xml:space="preserve">— </w:t>
    </w:r>
    <w:r>
      <w:rPr>
        <w:rFonts w:ascii="Times New Roman" w:hAnsi="Times New Roman"/>
        <w:sz w:val="28"/>
        <w:szCs w:val="28"/>
      </w:rPr>
      <w:fldChar w:fldCharType="begin"/>
    </w:r>
    <w:r>
      <w:rPr>
        <w:rStyle w:val="a7"/>
        <w:sz w:val="28"/>
        <w:szCs w:val="28"/>
      </w:rPr>
      <w:instrText xml:space="preserve">PAGE  </w:instrText>
    </w:r>
    <w:r>
      <w:rPr>
        <w:rFonts w:ascii="Times New Roman" w:hAnsi="Times New Roman"/>
        <w:sz w:val="28"/>
        <w:szCs w:val="28"/>
      </w:rPr>
      <w:fldChar w:fldCharType="separate"/>
    </w:r>
    <w:r>
      <w:rPr>
        <w:rStyle w:val="a7"/>
        <w:sz w:val="28"/>
        <w:szCs w:val="28"/>
      </w:rPr>
      <w:t>1</w:t>
    </w:r>
    <w:r>
      <w:rPr>
        <w:rFonts w:ascii="Times New Roman" w:hAnsi="Times New Roman"/>
        <w:sz w:val="28"/>
        <w:szCs w:val="28"/>
      </w:rPr>
      <w:fldChar w:fldCharType="end"/>
    </w:r>
    <w:r>
      <w:rPr>
        <w:rStyle w:val="a7"/>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B7EC" w14:textId="77777777" w:rsidR="006A7F0D" w:rsidRDefault="00000000">
    <w:pPr>
      <w:pStyle w:val="a6"/>
      <w:jc w:val="right"/>
    </w:pPr>
    <w:r>
      <w:rPr>
        <w:rStyle w:val="a7"/>
        <w:sz w:val="28"/>
        <w:szCs w:val="28"/>
      </w:rPr>
      <w:t xml:space="preserve">— </w:t>
    </w:r>
    <w:r>
      <w:rPr>
        <w:rFonts w:ascii="Times New Roman" w:hAnsi="Times New Roman"/>
        <w:sz w:val="28"/>
        <w:szCs w:val="28"/>
      </w:rPr>
      <w:fldChar w:fldCharType="begin"/>
    </w:r>
    <w:r>
      <w:rPr>
        <w:rStyle w:val="a7"/>
        <w:sz w:val="28"/>
        <w:szCs w:val="28"/>
      </w:rPr>
      <w:instrText xml:space="preserve">PAGE  </w:instrText>
    </w:r>
    <w:r>
      <w:rPr>
        <w:rFonts w:ascii="Times New Roman" w:hAnsi="Times New Roman"/>
        <w:sz w:val="28"/>
        <w:szCs w:val="28"/>
      </w:rPr>
      <w:fldChar w:fldCharType="separate"/>
    </w:r>
    <w:r>
      <w:rPr>
        <w:rStyle w:val="a7"/>
        <w:sz w:val="28"/>
        <w:szCs w:val="28"/>
      </w:rPr>
      <w:t>1</w:t>
    </w:r>
    <w:r>
      <w:rPr>
        <w:rFonts w:ascii="Times New Roman" w:hAnsi="Times New Roman"/>
        <w:sz w:val="28"/>
        <w:szCs w:val="28"/>
      </w:rPr>
      <w:fldChar w:fldCharType="end"/>
    </w:r>
    <w:r>
      <w:rPr>
        <w:rStyle w:val="a7"/>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54365" w14:textId="77777777" w:rsidR="00343248" w:rsidRDefault="00343248">
      <w:r>
        <w:separator/>
      </w:r>
    </w:p>
  </w:footnote>
  <w:footnote w:type="continuationSeparator" w:id="0">
    <w:p w14:paraId="61AA72F7" w14:textId="77777777" w:rsidR="00343248" w:rsidRDefault="003432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7F0D"/>
    <w:rsid w:val="0024039D"/>
    <w:rsid w:val="0024685F"/>
    <w:rsid w:val="00343248"/>
    <w:rsid w:val="006A7F0D"/>
    <w:rsid w:val="3C157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048826"/>
  <w15:docId w15:val="{01071BA4-FBA0-4639-9319-28AE791E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page number" w:qFormat="1"/>
    <w:lsdException w:name="Title" w:qFormat="1"/>
    <w:lsdException w:name="Default Paragraph Font" w:semiHidden="1"/>
    <w:lsdException w:name="Body Text" w:qFormat="1"/>
    <w:lsdException w:name="Body Text Indent" w:qFormat="1"/>
    <w:lsdException w:name="Subtitl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rPr>
      <w:rFonts w:asciiTheme="minorHAnsi" w:eastAsiaTheme="minorEastAsia" w:hAnsiTheme="minorHAnsi" w:cstheme="minorBidi"/>
    </w:rPr>
  </w:style>
  <w:style w:type="paragraph" w:styleId="a4">
    <w:name w:val="Body Text First Indent"/>
    <w:basedOn w:val="a0"/>
    <w:next w:val="a"/>
    <w:uiPriority w:val="99"/>
    <w:unhideWhenUsed/>
    <w:qFormat/>
    <w:pPr>
      <w:ind w:firstLineChars="100" w:firstLine="420"/>
    </w:pPr>
    <w:rPr>
      <w:rFonts w:ascii="等线" w:eastAsia="等线" w:hAnsi="等线" w:cs="Times New Roman"/>
    </w:rPr>
  </w:style>
  <w:style w:type="paragraph" w:styleId="a5">
    <w:name w:val="Body Text Indent"/>
    <w:basedOn w:val="a"/>
    <w:qFormat/>
    <w:rPr>
      <w:szCs w:val="21"/>
    </w:rPr>
  </w:style>
  <w:style w:type="paragraph" w:styleId="a6">
    <w:name w:val="footer"/>
    <w:basedOn w:val="a"/>
    <w:qFormat/>
    <w:pPr>
      <w:tabs>
        <w:tab w:val="center" w:pos="4153"/>
        <w:tab w:val="right" w:pos="8306"/>
      </w:tabs>
      <w:snapToGrid w:val="0"/>
      <w:jc w:val="left"/>
    </w:pPr>
    <w:rPr>
      <w:rFonts w:asciiTheme="minorHAnsi" w:eastAsiaTheme="minorEastAsia" w:hAnsiTheme="minorHAnsi" w:cstheme="minorBidi"/>
      <w:sz w:val="18"/>
    </w:rPr>
  </w:style>
  <w:style w:type="character" w:styleId="a7">
    <w:name w:val="page number"/>
    <w:basedOn w:val="a1"/>
    <w:qFormat/>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1746</Words>
  <Characters>1957</Characters>
  <Application>Microsoft Office Word</Application>
  <DocSecurity>0</DocSecurity>
  <Lines>78</Lines>
  <Paragraphs>35</Paragraphs>
  <ScaleCrop>false</ScaleCrop>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lrh</dc:creator>
  <cp:lastModifiedBy>liu zhahng</cp:lastModifiedBy>
  <cp:revision>2</cp:revision>
  <dcterms:created xsi:type="dcterms:W3CDTF">2026-04-04T10:11:00Z</dcterms:created>
  <dcterms:modified xsi:type="dcterms:W3CDTF">2026-04-04T13:14:00Z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eyJoZGlkIjoiNDM3MGIwNGQzNjVkNDcwYjI5MWFjYTc3MjQ2NWYzMTIiLCJ1c2VySWQiOiIxNTc2NjU1ODQ2In0=</vt:lpwstr>
  </property>
  <property fmtid="{D5CDD505-2E9C-101B-9397-08002B2CF9AE}" pid="4" name="ICV">
    <vt:lpwstr>FB7AFC5A4E8A4949BE7BC1550828FA1F_12</vt:lpwstr>
  </property>
</Properties>
</file>