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B9813">
      <w:pPr>
        <w:rPr>
          <w:rFonts w:ascii="黑体" w:hAnsi="黑体" w:eastAsia="黑体" w:cs="黑体"/>
          <w:sz w:val="28"/>
          <w:szCs w:val="28"/>
        </w:rPr>
      </w:pPr>
      <w:r>
        <w:rPr>
          <w:rFonts w:hint="eastAsia" w:ascii="黑体" w:hAnsi="黑体" w:eastAsia="黑体" w:cs="黑体"/>
          <w:sz w:val="28"/>
          <w:szCs w:val="28"/>
        </w:rPr>
        <w:t>附件1</w:t>
      </w:r>
    </w:p>
    <w:p w14:paraId="17CD1615"/>
    <w:p w14:paraId="4448F832">
      <w:pPr>
        <w:jc w:val="center"/>
        <w:rPr>
          <w:rFonts w:hint="eastAsia" w:ascii="方正小标宋简体" w:hAnsi="方正小标宋简体" w:eastAsia="方正小标宋简体" w:cs="方正小标宋简体"/>
          <w:bCs/>
          <w:sz w:val="44"/>
          <w:szCs w:val="44"/>
          <w:highlight w:val="yellow"/>
        </w:rPr>
      </w:pPr>
      <w:r>
        <w:rPr>
          <w:rFonts w:hint="eastAsia" w:ascii="方正小标宋简体" w:hAnsi="方正小标宋简体" w:eastAsia="方正小标宋简体" w:cs="方正小标宋简体"/>
          <w:bCs/>
          <w:sz w:val="44"/>
          <w:szCs w:val="44"/>
        </w:rPr>
        <w:t>江西省</w:t>
      </w:r>
      <w:r>
        <w:rPr>
          <w:rFonts w:hint="eastAsia" w:ascii="方正小标宋简体" w:hAnsi="方正小标宋简体" w:eastAsia="方正小标宋简体" w:cs="方正小标宋简体"/>
          <w:bCs/>
          <w:sz w:val="44"/>
          <w:szCs w:val="44"/>
          <w:highlight w:val="none"/>
        </w:rPr>
        <w:t>教育厅工程研究中心申报指南</w:t>
      </w:r>
    </w:p>
    <w:p w14:paraId="2F690B2C">
      <w:pPr>
        <w:jc w:val="center"/>
        <w:rPr>
          <w:rFonts w:ascii="宋体" w:hAnsi="宋体" w:eastAsia="宋体" w:cs="宋体"/>
          <w:b/>
          <w:bCs/>
          <w:sz w:val="44"/>
          <w:szCs w:val="44"/>
        </w:rPr>
      </w:pPr>
    </w:p>
    <w:p w14:paraId="0A98E6E2">
      <w:pPr>
        <w:ind w:firstLine="640" w:firstLineChars="200"/>
        <w:rPr>
          <w:rFonts w:ascii="仿宋_GB2312" w:eastAsia="仿宋_GB2312"/>
          <w:sz w:val="32"/>
          <w:szCs w:val="32"/>
        </w:rPr>
      </w:pPr>
      <w:r>
        <w:rPr>
          <w:rFonts w:hint="eastAsia" w:ascii="仿宋_GB2312" w:eastAsia="仿宋_GB2312"/>
          <w:sz w:val="32"/>
          <w:szCs w:val="32"/>
        </w:rPr>
        <w:t>为引导和支持省教育厅工程研究中心</w:t>
      </w:r>
      <w:r>
        <w:rPr>
          <w:rFonts w:hint="eastAsia" w:ascii="仿宋_GB2312" w:hAnsi="仿宋_GB2312" w:eastAsia="仿宋_GB2312" w:cs="仿宋_GB2312"/>
          <w:sz w:val="32"/>
          <w:szCs w:val="32"/>
        </w:rPr>
        <w:t>聚焦我省“1269”行动计划和6大未来产业</w:t>
      </w:r>
      <w:r>
        <w:rPr>
          <w:rFonts w:hint="eastAsia" w:ascii="仿宋_GB2312" w:eastAsia="仿宋_GB2312"/>
          <w:sz w:val="32"/>
          <w:szCs w:val="32"/>
        </w:rPr>
        <w:t>发展需求，突破一批制约产业发展的关键共性技术，编制本指南。</w:t>
      </w:r>
    </w:p>
    <w:p w14:paraId="48022CF2">
      <w:pPr>
        <w:ind w:firstLine="640" w:firstLineChars="200"/>
        <w:rPr>
          <w:rFonts w:ascii="黑体" w:hAnsi="黑体" w:eastAsia="黑体" w:cs="仿宋_GB2312"/>
          <w:sz w:val="32"/>
          <w:szCs w:val="32"/>
        </w:rPr>
      </w:pPr>
      <w:r>
        <w:rPr>
          <w:rFonts w:hint="eastAsia" w:ascii="黑体" w:hAnsi="黑体" w:eastAsia="黑体" w:cs="仿宋_GB2312"/>
          <w:sz w:val="32"/>
          <w:szCs w:val="32"/>
        </w:rPr>
        <w:t>一、电子信息产业链</w:t>
      </w:r>
    </w:p>
    <w:p w14:paraId="67D13A7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整机和终端产品与基础材料、元器件联动，硬件制造、软件开发、新一代信息技术融合应用一体发展，促进价值链向中高端延伸，聚力发展移动智能终端、半导体照明、汽车电子、虚拟现实（VR）、印制电路板（PCB）等细分产业链，培育集成电路等先导产业链。</w:t>
      </w:r>
    </w:p>
    <w:p w14:paraId="191B5157">
      <w:pPr>
        <w:numPr>
          <w:ilvl w:val="0"/>
          <w:numId w:val="1"/>
        </w:numPr>
        <w:ind w:firstLine="640" w:firstLineChars="200"/>
        <w:rPr>
          <w:rFonts w:hint="eastAsia" w:ascii="黑体" w:hAnsi="黑体" w:eastAsia="黑体" w:cs="仿宋_GB2312"/>
          <w:sz w:val="32"/>
          <w:szCs w:val="32"/>
        </w:rPr>
      </w:pPr>
      <w:r>
        <w:rPr>
          <w:rFonts w:hint="eastAsia" w:ascii="黑体" w:hAnsi="黑体" w:eastAsia="黑体" w:cs="仿宋_GB2312"/>
          <w:sz w:val="32"/>
          <w:szCs w:val="32"/>
        </w:rPr>
        <w:t>有色金属产业链</w:t>
      </w:r>
    </w:p>
    <w:p w14:paraId="49B57F9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智能化、低碳化、集群化方向，前端强化矿产资源战略保供、中端提升冶炼和再生金属回收利用等工艺技术水平、后端延伸提升精深加工能力，进一步增强战略资源保供和高效化利用，聚力发展铜、钨、稀土等细分产业链。</w:t>
      </w:r>
    </w:p>
    <w:p w14:paraId="0E253872">
      <w:pPr>
        <w:ind w:firstLine="640" w:firstLineChars="200"/>
        <w:rPr>
          <w:rFonts w:hint="eastAsia" w:ascii="黑体" w:hAnsi="黑体" w:eastAsia="黑体" w:cs="仿宋_GB2312"/>
          <w:sz w:val="32"/>
          <w:szCs w:val="32"/>
        </w:rPr>
      </w:pPr>
      <w:r>
        <w:rPr>
          <w:rFonts w:hint="eastAsia" w:ascii="黑体" w:hAnsi="黑体" w:eastAsia="黑体" w:cs="仿宋_GB2312"/>
          <w:sz w:val="32"/>
          <w:szCs w:val="32"/>
          <w:lang w:val="en-US" w:eastAsia="zh-CN"/>
        </w:rPr>
        <w:t>三、</w:t>
      </w:r>
      <w:r>
        <w:rPr>
          <w:rFonts w:hint="eastAsia" w:ascii="黑体" w:hAnsi="黑体" w:eastAsia="黑体" w:cs="仿宋_GB2312"/>
          <w:sz w:val="32"/>
          <w:szCs w:val="32"/>
        </w:rPr>
        <w:t>装备制造业产业链</w:t>
      </w:r>
    </w:p>
    <w:p w14:paraId="3163C1AA">
      <w:pPr>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坚持电动化、智能化、网联化、共享化方向，强化整车、整机与材料、零部件协同，创新引领与应用牵引并重，聚力发展汽车、电线电缆等细分产业链。鼓励各</w:t>
      </w:r>
      <w:r>
        <w:rPr>
          <w:rFonts w:hint="eastAsia" w:ascii="仿宋_GB2312" w:hAnsi="仿宋_GB2312" w:eastAsia="仿宋_GB2312" w:cs="仿宋_GB2312"/>
          <w:sz w:val="32"/>
          <w:szCs w:val="32"/>
          <w:lang w:val="en-US" w:eastAsia="zh-CN"/>
        </w:rPr>
        <w:t>地</w:t>
      </w:r>
      <w:r>
        <w:rPr>
          <w:rFonts w:ascii="仿宋_GB2312" w:hAnsi="仿宋_GB2312" w:eastAsia="仿宋_GB2312" w:cs="仿宋_GB2312"/>
          <w:sz w:val="32"/>
          <w:szCs w:val="32"/>
        </w:rPr>
        <w:t>依托产业基础和龙头企业，培育数控机床、机器人等智能装备产业链。</w:t>
      </w:r>
    </w:p>
    <w:p w14:paraId="622E4B13">
      <w:pPr>
        <w:ind w:firstLine="640" w:firstLineChars="200"/>
        <w:rPr>
          <w:rFonts w:hint="eastAsia" w:ascii="黑体" w:hAnsi="黑体" w:eastAsia="黑体" w:cs="仿宋_GB2312"/>
          <w:sz w:val="32"/>
          <w:szCs w:val="32"/>
        </w:rPr>
      </w:pPr>
      <w:r>
        <w:rPr>
          <w:rFonts w:hint="eastAsia" w:ascii="黑体" w:hAnsi="黑体" w:eastAsia="黑体" w:cs="仿宋_GB2312"/>
          <w:sz w:val="32"/>
          <w:szCs w:val="32"/>
          <w:lang w:val="en-US" w:eastAsia="zh-CN"/>
        </w:rPr>
        <w:t>四、</w:t>
      </w:r>
      <w:r>
        <w:rPr>
          <w:rFonts w:hint="eastAsia" w:ascii="黑体" w:hAnsi="黑体" w:eastAsia="黑体" w:cs="仿宋_GB2312"/>
          <w:sz w:val="32"/>
          <w:szCs w:val="32"/>
        </w:rPr>
        <w:t>新能源产业链</w:t>
      </w:r>
    </w:p>
    <w:p w14:paraId="38F79A46">
      <w:pPr>
        <w:ind w:firstLine="640" w:firstLineChars="200"/>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坚持多元互补、有序开发，进一步优化产业链布局，强化资源战略保障，提升资源绿色供给、综合利用水平，有序推动产能放大，聚力发展锂电、光伏等细分产业链，培育氢能、钠离子电池和其他新型储能等新兴产业链。</w:t>
      </w:r>
    </w:p>
    <w:p w14:paraId="707AADA9">
      <w:pPr>
        <w:ind w:firstLine="640" w:firstLineChars="200"/>
        <w:rPr>
          <w:rFonts w:hint="eastAsia" w:ascii="黑体" w:hAnsi="黑体" w:eastAsia="黑体" w:cs="仿宋_GB2312"/>
          <w:sz w:val="32"/>
          <w:szCs w:val="32"/>
        </w:rPr>
      </w:pPr>
      <w:r>
        <w:rPr>
          <w:rFonts w:hint="eastAsia" w:ascii="黑体" w:hAnsi="黑体" w:eastAsia="黑体" w:cs="仿宋_GB2312"/>
          <w:sz w:val="32"/>
          <w:szCs w:val="32"/>
          <w:lang w:val="en-US" w:eastAsia="zh-CN"/>
        </w:rPr>
        <w:t>五、</w:t>
      </w:r>
      <w:r>
        <w:rPr>
          <w:rFonts w:hint="eastAsia" w:ascii="黑体" w:hAnsi="黑体" w:eastAsia="黑体" w:cs="仿宋_GB2312"/>
          <w:sz w:val="32"/>
          <w:szCs w:val="32"/>
        </w:rPr>
        <w:t>石化化工产业链</w:t>
      </w:r>
    </w:p>
    <w:p w14:paraId="28C354DD">
      <w:pPr>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强化规划引导、合理布局、安全发展，坚持产品高端化、资源节约化、生产清洁化、制造智能化，积极推进炼化一体化延伸，聚力发展石油化工、化工新材料、精细化工、氯碱深加工等细分产业链。</w:t>
      </w:r>
    </w:p>
    <w:p w14:paraId="15765D73">
      <w:pPr>
        <w:numPr>
          <w:ilvl w:val="0"/>
          <w:numId w:val="2"/>
        </w:numPr>
        <w:ind w:firstLine="640" w:firstLineChars="200"/>
        <w:rPr>
          <w:rFonts w:hint="eastAsia" w:ascii="黑体" w:hAnsi="黑体" w:eastAsia="黑体" w:cs="黑体"/>
          <w:sz w:val="32"/>
          <w:szCs w:val="32"/>
        </w:rPr>
      </w:pPr>
      <w:r>
        <w:rPr>
          <w:rFonts w:hint="eastAsia" w:ascii="黑体" w:hAnsi="黑体" w:eastAsia="黑体" w:cs="黑体"/>
          <w:sz w:val="32"/>
          <w:szCs w:val="32"/>
        </w:rPr>
        <w:t>建材产业链</w:t>
      </w:r>
    </w:p>
    <w:p w14:paraId="3884B088">
      <w:pPr>
        <w:numPr>
          <w:ilvl w:val="-1"/>
          <w:numId w:val="0"/>
        </w:numPr>
        <w:ind w:firstLine="640" w:firstLineChars="200"/>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坚持绿色化、高端化、多元化、集群化方向，强化与建筑、装配、装饰等中下游应用端联动协同，聚力发展水泥、建筑陶瓷、玻纤等细分产业链，培育绿色建材、无机非金属新材料等新兴成长产业链。</w:t>
      </w:r>
    </w:p>
    <w:p w14:paraId="49BEF734">
      <w:pPr>
        <w:numPr>
          <w:ilvl w:val="-1"/>
          <w:numId w:val="0"/>
        </w:numPr>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七、</w:t>
      </w:r>
      <w:r>
        <w:rPr>
          <w:rFonts w:hint="eastAsia" w:ascii="黑体" w:hAnsi="黑体" w:eastAsia="黑体" w:cs="黑体"/>
          <w:sz w:val="32"/>
          <w:szCs w:val="32"/>
        </w:rPr>
        <w:t>钢铁产业链</w:t>
      </w:r>
    </w:p>
    <w:p w14:paraId="5C07C526">
      <w:pPr>
        <w:numPr>
          <w:ilvl w:val="-1"/>
          <w:numId w:val="0"/>
        </w:numPr>
        <w:ind w:firstLine="640" w:firstLineChars="200"/>
        <w:rPr>
          <w:rFonts w:hint="eastAsia" w:ascii="仿宋_GB2312" w:hAnsi="仿宋_GB2312" w:eastAsia="仿宋_GB2312" w:cs="仿宋_GB2312"/>
          <w:sz w:val="32"/>
          <w:szCs w:val="32"/>
          <w:lang w:eastAsia="zh-CN"/>
        </w:rPr>
      </w:pPr>
      <w:r>
        <w:rPr>
          <w:rFonts w:hint="default" w:ascii="仿宋_GB2312" w:hAnsi="仿宋_GB2312" w:eastAsia="仿宋_GB2312" w:cs="仿宋_GB2312"/>
          <w:sz w:val="32"/>
          <w:szCs w:val="32"/>
        </w:rPr>
        <w:t>坚持高端化、低碳化、数字化方向，着力强化资源战略保供，优化物流渠道，推进工艺装备升级，实现绿色低碳高效发展，进一步调优产品结构，聚力发展优特钢，积极拓展钢铁制品</w:t>
      </w:r>
      <w:r>
        <w:rPr>
          <w:rFonts w:hint="eastAsia" w:ascii="仿宋_GB2312" w:hAnsi="仿宋_GB2312" w:eastAsia="仿宋_GB2312" w:cs="仿宋_GB2312"/>
          <w:sz w:val="32"/>
          <w:szCs w:val="32"/>
          <w:lang w:eastAsia="zh-CN"/>
        </w:rPr>
        <w:t>。</w:t>
      </w:r>
    </w:p>
    <w:p w14:paraId="0C8A659C">
      <w:pPr>
        <w:numPr>
          <w:ilvl w:val="-1"/>
          <w:numId w:val="0"/>
        </w:numPr>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八、</w:t>
      </w:r>
      <w:r>
        <w:rPr>
          <w:rFonts w:hint="eastAsia" w:ascii="黑体" w:hAnsi="黑体" w:eastAsia="黑体" w:cs="黑体"/>
          <w:sz w:val="32"/>
          <w:szCs w:val="32"/>
        </w:rPr>
        <w:t>航空产业链</w:t>
      </w:r>
    </w:p>
    <w:p w14:paraId="4D4766B3">
      <w:pPr>
        <w:numPr>
          <w:ilvl w:val="-1"/>
          <w:numId w:val="0"/>
        </w:numPr>
        <w:ind w:firstLine="640" w:firstLineChars="200"/>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坚持先进技术融合转化，强化整机、发动机、关键材料和核心零部件联动发展，聚力发展教练机及直升机、民机、无人机等细分领域，协同提升航空服务、运输和临空经济发展，着力构建制造、运输、服务、临空经济“四位一体”产业体系。</w:t>
      </w:r>
    </w:p>
    <w:p w14:paraId="77E681B8">
      <w:pPr>
        <w:numPr>
          <w:ilvl w:val="-1"/>
          <w:numId w:val="0"/>
        </w:numPr>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九、</w:t>
      </w:r>
      <w:r>
        <w:rPr>
          <w:rFonts w:hint="eastAsia" w:ascii="黑体" w:hAnsi="黑体" w:eastAsia="黑体" w:cs="黑体"/>
          <w:sz w:val="32"/>
          <w:szCs w:val="32"/>
        </w:rPr>
        <w:t>食品产业链</w:t>
      </w:r>
    </w:p>
    <w:p w14:paraId="18AA418C">
      <w:pPr>
        <w:numPr>
          <w:ilvl w:val="-1"/>
          <w:numId w:val="0"/>
        </w:numPr>
        <w:ind w:firstLine="640" w:firstLineChars="200"/>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坚持绿色、安全、健康、便利方向，强化种养、加工、仓储配送联动，聚力发展肉制品、禽畜制品、地方特色食品、预制菜等细分产业链，鼓励各</w:t>
      </w:r>
      <w:r>
        <w:rPr>
          <w:rFonts w:hint="eastAsia" w:ascii="仿宋_GB2312" w:hAnsi="仿宋_GB2312" w:eastAsia="仿宋_GB2312" w:cs="仿宋_GB2312"/>
          <w:sz w:val="32"/>
          <w:szCs w:val="32"/>
          <w:lang w:val="en-US" w:eastAsia="zh-CN"/>
        </w:rPr>
        <w:t>地</w:t>
      </w:r>
      <w:r>
        <w:rPr>
          <w:rFonts w:hint="default" w:ascii="仿宋_GB2312" w:hAnsi="仿宋_GB2312" w:eastAsia="仿宋_GB2312" w:cs="仿宋_GB2312"/>
          <w:sz w:val="32"/>
          <w:szCs w:val="32"/>
        </w:rPr>
        <w:t>依托产业基础和龙头企业，打造细分领域特色优势产业链。</w:t>
      </w:r>
    </w:p>
    <w:p w14:paraId="4D334216">
      <w:pPr>
        <w:numPr>
          <w:ilvl w:val="-1"/>
          <w:numId w:val="0"/>
        </w:numPr>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十、</w:t>
      </w:r>
      <w:r>
        <w:rPr>
          <w:rFonts w:hint="eastAsia" w:ascii="黑体" w:hAnsi="黑体" w:eastAsia="黑体" w:cs="黑体"/>
          <w:sz w:val="32"/>
          <w:szCs w:val="32"/>
        </w:rPr>
        <w:t>纺织服装产业链</w:t>
      </w:r>
    </w:p>
    <w:p w14:paraId="75ABB446">
      <w:pPr>
        <w:numPr>
          <w:ilvl w:val="-1"/>
          <w:numId w:val="0"/>
        </w:numPr>
        <w:ind w:firstLine="640" w:firstLineChars="200"/>
        <w:rPr>
          <w:rFonts w:hint="eastAsia" w:ascii="仿宋_GB2312" w:hAnsi="仿宋_GB2312" w:eastAsia="仿宋_GB2312" w:cs="仿宋_GB2312"/>
          <w:sz w:val="32"/>
          <w:szCs w:val="32"/>
          <w:lang w:eastAsia="zh-CN"/>
        </w:rPr>
      </w:pPr>
      <w:r>
        <w:rPr>
          <w:rFonts w:hint="default" w:ascii="仿宋_GB2312" w:hAnsi="仿宋_GB2312" w:eastAsia="仿宋_GB2312" w:cs="仿宋_GB2312"/>
          <w:sz w:val="32"/>
          <w:szCs w:val="32"/>
        </w:rPr>
        <w:t>坚持科技、时尚、绿色发展方向，以产业承接、自主创新、数字转型、品牌建设为发力点，聚力发展服装、棉纺、化纤、产业用纺织品等细分产业链，支持各</w:t>
      </w:r>
      <w:r>
        <w:rPr>
          <w:rFonts w:hint="eastAsia" w:ascii="仿宋_GB2312" w:hAnsi="仿宋_GB2312" w:eastAsia="仿宋_GB2312" w:cs="仿宋_GB2312"/>
          <w:sz w:val="32"/>
          <w:szCs w:val="32"/>
          <w:lang w:val="en-US" w:eastAsia="zh-CN"/>
        </w:rPr>
        <w:t>地</w:t>
      </w:r>
      <w:r>
        <w:rPr>
          <w:rFonts w:hint="default" w:ascii="仿宋_GB2312" w:hAnsi="仿宋_GB2312" w:eastAsia="仿宋_GB2312" w:cs="仿宋_GB2312"/>
          <w:sz w:val="32"/>
          <w:szCs w:val="32"/>
        </w:rPr>
        <w:t>细分领域特色产业链升级发展</w:t>
      </w:r>
      <w:r>
        <w:rPr>
          <w:rFonts w:hint="eastAsia" w:ascii="仿宋_GB2312" w:hAnsi="仿宋_GB2312" w:eastAsia="仿宋_GB2312" w:cs="仿宋_GB2312"/>
          <w:sz w:val="32"/>
          <w:szCs w:val="32"/>
          <w:lang w:eastAsia="zh-CN"/>
        </w:rPr>
        <w:t>。</w:t>
      </w:r>
    </w:p>
    <w:p w14:paraId="18F5D0D3">
      <w:pPr>
        <w:numPr>
          <w:ilvl w:val="-1"/>
          <w:numId w:val="0"/>
        </w:numPr>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十一、</w:t>
      </w:r>
      <w:r>
        <w:rPr>
          <w:rFonts w:hint="eastAsia" w:ascii="黑体" w:hAnsi="黑体" w:eastAsia="黑体" w:cs="黑体"/>
          <w:sz w:val="32"/>
          <w:szCs w:val="32"/>
        </w:rPr>
        <w:t>医药产业链</w:t>
      </w:r>
    </w:p>
    <w:p w14:paraId="3E4E4033">
      <w:pPr>
        <w:numPr>
          <w:ilvl w:val="-1"/>
          <w:numId w:val="0"/>
        </w:numPr>
        <w:ind w:firstLine="640" w:firstLineChars="200"/>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坚持药品与医疗器械全产业链布局、项目招引与孵化培育并重，支持重点区域创建国家级产业创新平台，强化产医互动，提升服务效率，聚力发展中药、化学药、生物药、医疗器械等细分产业链，构建“医药+”融合发展格局。</w:t>
      </w:r>
    </w:p>
    <w:p w14:paraId="650FD36E">
      <w:pPr>
        <w:numPr>
          <w:ilvl w:val="0"/>
          <w:numId w:val="3"/>
        </w:numPr>
        <w:ind w:firstLine="640" w:firstLineChars="200"/>
        <w:rPr>
          <w:rFonts w:hint="eastAsia" w:ascii="黑体" w:hAnsi="黑体" w:eastAsia="黑体" w:cs="黑体"/>
          <w:sz w:val="32"/>
          <w:szCs w:val="32"/>
        </w:rPr>
      </w:pPr>
      <w:r>
        <w:rPr>
          <w:rFonts w:hint="eastAsia" w:ascii="黑体" w:hAnsi="黑体" w:eastAsia="黑体" w:cs="黑体"/>
          <w:sz w:val="32"/>
          <w:szCs w:val="32"/>
        </w:rPr>
        <w:t>现代家具产业链</w:t>
      </w:r>
    </w:p>
    <w:p w14:paraId="3B5717BC">
      <w:pPr>
        <w:numPr>
          <w:ilvl w:val="-1"/>
          <w:numId w:val="0"/>
        </w:numPr>
        <w:ind w:firstLine="640" w:firstLineChars="200"/>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坚持高端化、智能化、品牌化、融合化方向，推进增品种、提品质、创品牌，聚力发展实木家具、金属家具、教育装备（校具）等细分产业链，支持南康家具产业集群加快向现代家居延伸。</w:t>
      </w:r>
    </w:p>
    <w:p w14:paraId="7C2FBEAF">
      <w:pPr>
        <w:ind w:firstLine="640" w:firstLineChars="200"/>
        <w:rPr>
          <w:rFonts w:ascii="黑体" w:hAnsi="黑体" w:eastAsia="黑体" w:cs="黑体"/>
          <w:strike w:val="0"/>
          <w:color w:val="auto"/>
          <w:spacing w:val="-11"/>
          <w:sz w:val="32"/>
          <w:szCs w:val="32"/>
        </w:rPr>
      </w:pPr>
      <w:r>
        <w:rPr>
          <w:rFonts w:hint="eastAsia" w:ascii="黑体" w:hAnsi="黑体" w:eastAsia="黑体" w:cs="仿宋_GB2312"/>
          <w:strike w:val="0"/>
          <w:color w:val="auto"/>
          <w:sz w:val="32"/>
          <w:szCs w:val="32"/>
        </w:rPr>
        <w:t>十三、未来产业</w:t>
      </w:r>
    </w:p>
    <w:p w14:paraId="559B1918">
      <w:pPr>
        <w:ind w:firstLine="640" w:firstLineChars="200"/>
        <w:rPr>
          <w:rFonts w:hint="eastAsia" w:ascii="仿宋_GB2312" w:hAnsi="仿宋_GB2312" w:eastAsia="仿宋_GB2312" w:cs="仿宋_GB2312"/>
          <w:strike w:val="0"/>
          <w:color w:val="auto"/>
          <w:sz w:val="32"/>
          <w:szCs w:val="32"/>
          <w:lang w:eastAsia="zh-CN"/>
        </w:rPr>
      </w:pPr>
      <w:r>
        <w:rPr>
          <w:rFonts w:ascii="仿宋_GB2312" w:hAnsi="仿宋_GB2312" w:eastAsia="仿宋_GB2312" w:cs="仿宋_GB2312"/>
          <w:strike w:val="0"/>
          <w:color w:val="auto"/>
          <w:sz w:val="32"/>
          <w:szCs w:val="32"/>
        </w:rPr>
        <w:t>聚焦“现有产业未来化”与“未来技术产业化”，前瞻谋划未来材料、未来能源、未来生物、未来健康、未来显示、未来航空等六大重点发展领域，并科学布局金属新材料、</w:t>
      </w:r>
      <w:r>
        <w:rPr>
          <w:rFonts w:hint="default" w:ascii="仿宋_GB2312" w:hAnsi="仿宋_GB2312" w:eastAsia="仿宋_GB2312" w:cs="仿宋_GB2312"/>
          <w:strike w:val="0"/>
          <w:color w:val="auto"/>
          <w:sz w:val="32"/>
          <w:szCs w:val="32"/>
        </w:rPr>
        <w:fldChar w:fldCharType="begin"/>
      </w:r>
      <w:r>
        <w:rPr>
          <w:rFonts w:hint="default" w:ascii="仿宋_GB2312" w:hAnsi="仿宋_GB2312" w:eastAsia="仿宋_GB2312" w:cs="仿宋_GB2312"/>
          <w:strike w:val="0"/>
          <w:color w:val="auto"/>
          <w:sz w:val="32"/>
          <w:szCs w:val="32"/>
        </w:rPr>
        <w:instrText xml:space="preserve"> HYPERLINK "https://baike.baidu.com/item/%E8%84%91%E6%9C%BA%E6%8E%A5%E5%8F%A3/7864914?fromModule=lemma_inlink" \t "https://baike.baidu.com/item/%E6%B1%9F%E8%A5%BF%E7%9C%81%E6%9C%AA%E6%9D%A5%E4%BA%A7%E4%B8%9A%E5%9F%B9%E8%82%B2%E5%8F%91%E5%B1%95%E8%A1%8C%E5%8A%A8%E6%96%B9%E6%A1%88%EF%BC%882024%E2%80%942026%E5%B9%B4%EF%BC%89/_blank" </w:instrText>
      </w:r>
      <w:r>
        <w:rPr>
          <w:rFonts w:hint="default" w:ascii="仿宋_GB2312" w:hAnsi="仿宋_GB2312" w:eastAsia="仿宋_GB2312" w:cs="仿宋_GB2312"/>
          <w:strike w:val="0"/>
          <w:color w:val="auto"/>
          <w:sz w:val="32"/>
          <w:szCs w:val="32"/>
        </w:rPr>
        <w:fldChar w:fldCharType="separate"/>
      </w:r>
      <w:r>
        <w:rPr>
          <w:rFonts w:hint="default" w:ascii="仿宋_GB2312" w:hAnsi="仿宋_GB2312" w:eastAsia="仿宋_GB2312" w:cs="仿宋_GB2312"/>
          <w:strike w:val="0"/>
          <w:color w:val="auto"/>
          <w:sz w:val="32"/>
          <w:szCs w:val="32"/>
        </w:rPr>
        <w:t>脑机接口</w:t>
      </w:r>
      <w:r>
        <w:rPr>
          <w:rFonts w:hint="default" w:ascii="仿宋_GB2312" w:hAnsi="仿宋_GB2312" w:eastAsia="仿宋_GB2312" w:cs="仿宋_GB2312"/>
          <w:strike w:val="0"/>
          <w:color w:val="auto"/>
          <w:sz w:val="32"/>
          <w:szCs w:val="32"/>
        </w:rPr>
        <w:fldChar w:fldCharType="end"/>
      </w:r>
      <w:r>
        <w:rPr>
          <w:rFonts w:hint="default" w:ascii="仿宋_GB2312" w:hAnsi="仿宋_GB2312" w:eastAsia="仿宋_GB2312" w:cs="仿宋_GB2312"/>
          <w:strike w:val="0"/>
          <w:color w:val="auto"/>
          <w:sz w:val="32"/>
          <w:szCs w:val="32"/>
        </w:rPr>
        <w:t>、</w:t>
      </w:r>
      <w:r>
        <w:rPr>
          <w:rFonts w:hint="default" w:ascii="仿宋_GB2312" w:hAnsi="仿宋_GB2312" w:eastAsia="仿宋_GB2312" w:cs="仿宋_GB2312"/>
          <w:strike w:val="0"/>
          <w:color w:val="auto"/>
          <w:sz w:val="32"/>
          <w:szCs w:val="32"/>
        </w:rPr>
        <w:fldChar w:fldCharType="begin"/>
      </w:r>
      <w:r>
        <w:rPr>
          <w:rFonts w:hint="default" w:ascii="仿宋_GB2312" w:hAnsi="仿宋_GB2312" w:eastAsia="仿宋_GB2312" w:cs="仿宋_GB2312"/>
          <w:strike w:val="0"/>
          <w:color w:val="auto"/>
          <w:sz w:val="32"/>
          <w:szCs w:val="32"/>
        </w:rPr>
        <w:instrText xml:space="preserve"> HYPERLINK "https://baike.baidu.com/item/%E5%85%B7%E8%BA%AB%E6%99%BA%E8%83%BD/63286570?fromModule=lemma_inlink" \t "https://baike.baidu.com/item/%E6%B1%9F%E8%A5%BF%E7%9C%81%E6%9C%AA%E6%9D%A5%E4%BA%A7%E4%B8%9A%E5%9F%B9%E8%82%B2%E5%8F%91%E5%B1%95%E8%A1%8C%E5%8A%A8%E6%96%B9%E6%A1%88%EF%BC%882024%E2%80%942026%E5%B9%B4%EF%BC%89/_blank" </w:instrText>
      </w:r>
      <w:r>
        <w:rPr>
          <w:rFonts w:hint="default" w:ascii="仿宋_GB2312" w:hAnsi="仿宋_GB2312" w:eastAsia="仿宋_GB2312" w:cs="仿宋_GB2312"/>
          <w:strike w:val="0"/>
          <w:color w:val="auto"/>
          <w:sz w:val="32"/>
          <w:szCs w:val="32"/>
        </w:rPr>
        <w:fldChar w:fldCharType="separate"/>
      </w:r>
      <w:r>
        <w:rPr>
          <w:rFonts w:hint="default" w:ascii="仿宋_GB2312" w:hAnsi="仿宋_GB2312" w:eastAsia="仿宋_GB2312" w:cs="仿宋_GB2312"/>
          <w:strike w:val="0"/>
          <w:color w:val="auto"/>
          <w:sz w:val="32"/>
          <w:szCs w:val="32"/>
        </w:rPr>
        <w:t>具身智能</w:t>
      </w:r>
      <w:r>
        <w:rPr>
          <w:rFonts w:hint="default" w:ascii="仿宋_GB2312" w:hAnsi="仿宋_GB2312" w:eastAsia="仿宋_GB2312" w:cs="仿宋_GB2312"/>
          <w:strike w:val="0"/>
          <w:color w:val="auto"/>
          <w:sz w:val="32"/>
          <w:szCs w:val="32"/>
        </w:rPr>
        <w:fldChar w:fldCharType="end"/>
      </w:r>
      <w:r>
        <w:rPr>
          <w:rFonts w:hint="default" w:ascii="仿宋_GB2312" w:hAnsi="仿宋_GB2312" w:eastAsia="仿宋_GB2312" w:cs="仿宋_GB2312"/>
          <w:strike w:val="0"/>
          <w:color w:val="auto"/>
          <w:sz w:val="32"/>
          <w:szCs w:val="32"/>
        </w:rPr>
        <w:t>及</w:t>
      </w:r>
      <w:r>
        <w:rPr>
          <w:rFonts w:hint="default" w:ascii="仿宋_GB2312" w:hAnsi="仿宋_GB2312" w:eastAsia="仿宋_GB2312" w:cs="仿宋_GB2312"/>
          <w:strike w:val="0"/>
          <w:color w:val="auto"/>
          <w:sz w:val="32"/>
          <w:szCs w:val="32"/>
        </w:rPr>
        <w:fldChar w:fldCharType="begin"/>
      </w:r>
      <w:r>
        <w:rPr>
          <w:rFonts w:hint="default" w:ascii="仿宋_GB2312" w:hAnsi="仿宋_GB2312" w:eastAsia="仿宋_GB2312" w:cs="仿宋_GB2312"/>
          <w:strike w:val="0"/>
          <w:color w:val="auto"/>
          <w:sz w:val="32"/>
          <w:szCs w:val="32"/>
        </w:rPr>
        <w:instrText xml:space="preserve"> HYPERLINK "https://baike.baidu.com/item/%E4%BA%BA%E5%BD%A2%E6%9C%BA%E5%99%A8%E4%BA%BA/4413535?fromModule=lemma_inlink" \t "https://baike.baidu.com/item/%E6%B1%9F%E8%A5%BF%E7%9C%81%E6%9C%AA%E6%9D%A5%E4%BA%A7%E4%B8%9A%E5%9F%B9%E8%82%B2%E5%8F%91%E5%B1%95%E8%A1%8C%E5%8A%A8%E6%96%B9%E6%A1%88%EF%BC%882024%E2%80%942026%E5%B9%B4%EF%BC%89/_blank" </w:instrText>
      </w:r>
      <w:r>
        <w:rPr>
          <w:rFonts w:hint="default" w:ascii="仿宋_GB2312" w:hAnsi="仿宋_GB2312" w:eastAsia="仿宋_GB2312" w:cs="仿宋_GB2312"/>
          <w:strike w:val="0"/>
          <w:color w:val="auto"/>
          <w:sz w:val="32"/>
          <w:szCs w:val="32"/>
        </w:rPr>
        <w:fldChar w:fldCharType="separate"/>
      </w:r>
      <w:r>
        <w:rPr>
          <w:rFonts w:hint="default" w:ascii="仿宋_GB2312" w:hAnsi="仿宋_GB2312" w:eastAsia="仿宋_GB2312" w:cs="仿宋_GB2312"/>
          <w:strike w:val="0"/>
          <w:color w:val="auto"/>
          <w:sz w:val="32"/>
          <w:szCs w:val="32"/>
        </w:rPr>
        <w:t>人形机器人</w:t>
      </w:r>
      <w:r>
        <w:rPr>
          <w:rFonts w:hint="default" w:ascii="仿宋_GB2312" w:hAnsi="仿宋_GB2312" w:eastAsia="仿宋_GB2312" w:cs="仿宋_GB2312"/>
          <w:strike w:val="0"/>
          <w:color w:val="auto"/>
          <w:sz w:val="32"/>
          <w:szCs w:val="32"/>
        </w:rPr>
        <w:fldChar w:fldCharType="end"/>
      </w:r>
      <w:r>
        <w:rPr>
          <w:rFonts w:hint="default" w:ascii="仿宋_GB2312" w:hAnsi="仿宋_GB2312" w:eastAsia="仿宋_GB2312" w:cs="仿宋_GB2312"/>
          <w:strike w:val="0"/>
          <w:color w:val="auto"/>
          <w:sz w:val="32"/>
          <w:szCs w:val="32"/>
        </w:rPr>
        <w:t>、</w:t>
      </w:r>
      <w:r>
        <w:rPr>
          <w:rFonts w:hint="default" w:ascii="仿宋_GB2312" w:hAnsi="仿宋_GB2312" w:eastAsia="仿宋_GB2312" w:cs="仿宋_GB2312"/>
          <w:strike w:val="0"/>
          <w:color w:val="auto"/>
          <w:sz w:val="32"/>
          <w:szCs w:val="32"/>
        </w:rPr>
        <w:fldChar w:fldCharType="begin"/>
      </w:r>
      <w:r>
        <w:rPr>
          <w:rFonts w:hint="default" w:ascii="仿宋_GB2312" w:hAnsi="仿宋_GB2312" w:eastAsia="仿宋_GB2312" w:cs="仿宋_GB2312"/>
          <w:strike w:val="0"/>
          <w:color w:val="auto"/>
          <w:sz w:val="32"/>
          <w:szCs w:val="32"/>
        </w:rPr>
        <w:instrText xml:space="preserve"> HYPERLINK "https://baike.baidu.com/item/%E6%A0%B8%E5%8C%BB%E7%96%97/64759115?fromModule=lemma_inlink" \t "https://baike.baidu.com/item/%E6%B1%9F%E8%A5%BF%E7%9C%81%E6%9C%AA%E6%9D%A5%E4%BA%A7%E4%B8%9A%E5%9F%B9%E8%82%B2%E5%8F%91%E5%B1%95%E8%A1%8C%E5%8A%A8%E6%96%B9%E6%A1%88%EF%BC%882024%E2%80%942026%E5%B9%B4%EF%BC%89/_blank" </w:instrText>
      </w:r>
      <w:r>
        <w:rPr>
          <w:rFonts w:hint="default" w:ascii="仿宋_GB2312" w:hAnsi="仿宋_GB2312" w:eastAsia="仿宋_GB2312" w:cs="仿宋_GB2312"/>
          <w:strike w:val="0"/>
          <w:color w:val="auto"/>
          <w:sz w:val="32"/>
          <w:szCs w:val="32"/>
        </w:rPr>
        <w:fldChar w:fldCharType="separate"/>
      </w:r>
      <w:r>
        <w:rPr>
          <w:rFonts w:hint="default" w:ascii="仿宋_GB2312" w:hAnsi="仿宋_GB2312" w:eastAsia="仿宋_GB2312" w:cs="仿宋_GB2312"/>
          <w:strike w:val="0"/>
          <w:color w:val="auto"/>
          <w:sz w:val="32"/>
          <w:szCs w:val="32"/>
        </w:rPr>
        <w:t>核医疗</w:t>
      </w:r>
      <w:r>
        <w:rPr>
          <w:rFonts w:hint="default" w:ascii="仿宋_GB2312" w:hAnsi="仿宋_GB2312" w:eastAsia="仿宋_GB2312" w:cs="仿宋_GB2312"/>
          <w:strike w:val="0"/>
          <w:color w:val="auto"/>
          <w:sz w:val="32"/>
          <w:szCs w:val="32"/>
        </w:rPr>
        <w:fldChar w:fldCharType="end"/>
      </w:r>
      <w:r>
        <w:rPr>
          <w:rFonts w:hint="default" w:ascii="仿宋_GB2312" w:hAnsi="仿宋_GB2312" w:eastAsia="仿宋_GB2312" w:cs="仿宋_GB2312"/>
          <w:strike w:val="0"/>
          <w:color w:val="auto"/>
          <w:sz w:val="32"/>
          <w:szCs w:val="32"/>
        </w:rPr>
        <w:t>、</w:t>
      </w:r>
      <w:r>
        <w:rPr>
          <w:rFonts w:hint="default" w:ascii="仿宋_GB2312" w:hAnsi="仿宋_GB2312" w:eastAsia="仿宋_GB2312" w:cs="仿宋_GB2312"/>
          <w:strike w:val="0"/>
          <w:color w:val="auto"/>
          <w:sz w:val="32"/>
          <w:szCs w:val="32"/>
        </w:rPr>
        <w:fldChar w:fldCharType="begin"/>
      </w:r>
      <w:r>
        <w:rPr>
          <w:rFonts w:hint="default" w:ascii="仿宋_GB2312" w:hAnsi="仿宋_GB2312" w:eastAsia="仿宋_GB2312" w:cs="仿宋_GB2312"/>
          <w:strike w:val="0"/>
          <w:color w:val="auto"/>
          <w:sz w:val="32"/>
          <w:szCs w:val="32"/>
        </w:rPr>
        <w:instrText xml:space="preserve"> HYPERLINK "https://baike.baidu.com/item/%E5%9B%BA%E6%80%81%E7%94%B5%E6%B1%A0/16950077?fromModule=lemma_inlink" \t "https://baike.baidu.com/item/%E6%B1%9F%E8%A5%BF%E7%9C%81%E6%9C%AA%E6%9D%A5%E4%BA%A7%E4%B8%9A%E5%9F%B9%E8%82%B2%E5%8F%91%E5%B1%95%E8%A1%8C%E5%8A%A8%E6%96%B9%E6%A1%88%EF%BC%882024%E2%80%942026%E5%B9%B4%EF%BC%89/_blank" </w:instrText>
      </w:r>
      <w:r>
        <w:rPr>
          <w:rFonts w:hint="default" w:ascii="仿宋_GB2312" w:hAnsi="仿宋_GB2312" w:eastAsia="仿宋_GB2312" w:cs="仿宋_GB2312"/>
          <w:strike w:val="0"/>
          <w:color w:val="auto"/>
          <w:sz w:val="32"/>
          <w:szCs w:val="32"/>
        </w:rPr>
        <w:fldChar w:fldCharType="separate"/>
      </w:r>
      <w:r>
        <w:rPr>
          <w:rFonts w:hint="default" w:ascii="仿宋_GB2312" w:hAnsi="仿宋_GB2312" w:eastAsia="仿宋_GB2312" w:cs="仿宋_GB2312"/>
          <w:strike w:val="0"/>
          <w:color w:val="auto"/>
          <w:sz w:val="32"/>
          <w:szCs w:val="32"/>
        </w:rPr>
        <w:t>固态电池</w:t>
      </w:r>
      <w:r>
        <w:rPr>
          <w:rFonts w:hint="default" w:ascii="仿宋_GB2312" w:hAnsi="仿宋_GB2312" w:eastAsia="仿宋_GB2312" w:cs="仿宋_GB2312"/>
          <w:strike w:val="0"/>
          <w:color w:val="auto"/>
          <w:sz w:val="32"/>
          <w:szCs w:val="32"/>
        </w:rPr>
        <w:fldChar w:fldCharType="end"/>
      </w:r>
      <w:r>
        <w:rPr>
          <w:rFonts w:hint="default" w:ascii="仿宋_GB2312" w:hAnsi="仿宋_GB2312" w:eastAsia="仿宋_GB2312" w:cs="仿宋_GB2312"/>
          <w:strike w:val="0"/>
          <w:color w:val="auto"/>
          <w:sz w:val="32"/>
          <w:szCs w:val="32"/>
        </w:rPr>
        <w:t>、</w:t>
      </w:r>
      <w:r>
        <w:rPr>
          <w:rFonts w:hint="default" w:ascii="仿宋_GB2312" w:hAnsi="仿宋_GB2312" w:eastAsia="仿宋_GB2312" w:cs="仿宋_GB2312"/>
          <w:strike w:val="0"/>
          <w:color w:val="auto"/>
          <w:sz w:val="32"/>
          <w:szCs w:val="32"/>
        </w:rPr>
        <w:fldChar w:fldCharType="begin"/>
      </w:r>
      <w:r>
        <w:rPr>
          <w:rFonts w:hint="default" w:ascii="仿宋_GB2312" w:hAnsi="仿宋_GB2312" w:eastAsia="仿宋_GB2312" w:cs="仿宋_GB2312"/>
          <w:strike w:val="0"/>
          <w:color w:val="auto"/>
          <w:sz w:val="32"/>
          <w:szCs w:val="32"/>
        </w:rPr>
        <w:instrText xml:space="preserve"> HYPERLINK "https://baike.baidu.com/item/%E5%85%89%E7%94%B5%E5%AD%90/337832?fromModule=lemma_inlink" \t "https://baike.baidu.com/item/%E6%B1%9F%E8%A5%BF%E7%9C%81%E6%9C%AA%E6%9D%A5%E4%BA%A7%E4%B8%9A%E5%9F%B9%E8%82%B2%E5%8F%91%E5%B1%95%E8%A1%8C%E5%8A%A8%E6%96%B9%E6%A1%88%EF%BC%882024%E2%80%942026%E5%B9%B4%EF%BC%89/_blank" </w:instrText>
      </w:r>
      <w:r>
        <w:rPr>
          <w:rFonts w:hint="default" w:ascii="仿宋_GB2312" w:hAnsi="仿宋_GB2312" w:eastAsia="仿宋_GB2312" w:cs="仿宋_GB2312"/>
          <w:strike w:val="0"/>
          <w:color w:val="auto"/>
          <w:sz w:val="32"/>
          <w:szCs w:val="32"/>
        </w:rPr>
        <w:fldChar w:fldCharType="separate"/>
      </w:r>
      <w:r>
        <w:rPr>
          <w:rFonts w:hint="default" w:ascii="仿宋_GB2312" w:hAnsi="仿宋_GB2312" w:eastAsia="仿宋_GB2312" w:cs="仿宋_GB2312"/>
          <w:strike w:val="0"/>
          <w:color w:val="auto"/>
          <w:sz w:val="32"/>
          <w:szCs w:val="32"/>
        </w:rPr>
        <w:t>光电子</w:t>
      </w:r>
      <w:r>
        <w:rPr>
          <w:rFonts w:hint="default" w:ascii="仿宋_GB2312" w:hAnsi="仿宋_GB2312" w:eastAsia="仿宋_GB2312" w:cs="仿宋_GB2312"/>
          <w:strike w:val="0"/>
          <w:color w:val="auto"/>
          <w:sz w:val="32"/>
          <w:szCs w:val="32"/>
        </w:rPr>
        <w:fldChar w:fldCharType="end"/>
      </w:r>
      <w:r>
        <w:rPr>
          <w:rFonts w:hint="default" w:ascii="仿宋_GB2312" w:hAnsi="仿宋_GB2312" w:eastAsia="仿宋_GB2312" w:cs="仿宋_GB2312"/>
          <w:strike w:val="0"/>
          <w:color w:val="auto"/>
          <w:sz w:val="32"/>
          <w:szCs w:val="32"/>
        </w:rPr>
        <w:t>、</w:t>
      </w:r>
      <w:r>
        <w:rPr>
          <w:rFonts w:hint="default" w:ascii="仿宋_GB2312" w:hAnsi="仿宋_GB2312" w:eastAsia="仿宋_GB2312" w:cs="仿宋_GB2312"/>
          <w:strike w:val="0"/>
          <w:color w:val="auto"/>
          <w:sz w:val="32"/>
          <w:szCs w:val="32"/>
        </w:rPr>
        <w:fldChar w:fldCharType="begin"/>
      </w:r>
      <w:r>
        <w:rPr>
          <w:rFonts w:hint="default" w:ascii="仿宋_GB2312" w:hAnsi="仿宋_GB2312" w:eastAsia="仿宋_GB2312" w:cs="仿宋_GB2312"/>
          <w:strike w:val="0"/>
          <w:color w:val="auto"/>
          <w:sz w:val="32"/>
          <w:szCs w:val="32"/>
        </w:rPr>
        <w:instrText xml:space="preserve"> HYPERLINK "https://baike.baidu.com/item/%E7%94%9F%E7%89%A9%E5%88%B6%E9%80%A0/3489642?fromModule=lemma_inlink" \t "https://baike.baidu.com/item/%E6%B1%9F%E8%A5%BF%E7%9C%81%E6%9C%AA%E6%9D%A5%E4%BA%A7%E4%B8%9A%E5%9F%B9%E8%82%B2%E5%8F%91%E5%B1%95%E8%A1%8C%E5%8A%A8%E6%96%B9%E6%A1%88%EF%BC%882024%E2%80%942026%E5%B9%B4%EF%BC%89/_blank" </w:instrText>
      </w:r>
      <w:r>
        <w:rPr>
          <w:rFonts w:hint="default" w:ascii="仿宋_GB2312" w:hAnsi="仿宋_GB2312" w:eastAsia="仿宋_GB2312" w:cs="仿宋_GB2312"/>
          <w:strike w:val="0"/>
          <w:color w:val="auto"/>
          <w:sz w:val="32"/>
          <w:szCs w:val="32"/>
        </w:rPr>
        <w:fldChar w:fldCharType="separate"/>
      </w:r>
      <w:r>
        <w:rPr>
          <w:rFonts w:hint="default" w:ascii="仿宋_GB2312" w:hAnsi="仿宋_GB2312" w:eastAsia="仿宋_GB2312" w:cs="仿宋_GB2312"/>
          <w:strike w:val="0"/>
          <w:color w:val="auto"/>
          <w:sz w:val="32"/>
          <w:szCs w:val="32"/>
        </w:rPr>
        <w:t>生物制造</w:t>
      </w:r>
      <w:r>
        <w:rPr>
          <w:rFonts w:hint="default" w:ascii="仿宋_GB2312" w:hAnsi="仿宋_GB2312" w:eastAsia="仿宋_GB2312" w:cs="仿宋_GB2312"/>
          <w:strike w:val="0"/>
          <w:color w:val="auto"/>
          <w:sz w:val="32"/>
          <w:szCs w:val="32"/>
        </w:rPr>
        <w:fldChar w:fldCharType="end"/>
      </w:r>
      <w:r>
        <w:rPr>
          <w:rFonts w:hint="default" w:ascii="仿宋_GB2312" w:hAnsi="仿宋_GB2312" w:eastAsia="仿宋_GB2312" w:cs="仿宋_GB2312"/>
          <w:strike w:val="0"/>
          <w:color w:val="auto"/>
          <w:sz w:val="32"/>
          <w:szCs w:val="32"/>
        </w:rPr>
        <w:t>等产业新赛道</w:t>
      </w:r>
      <w:r>
        <w:rPr>
          <w:rFonts w:hint="eastAsia" w:ascii="仿宋_GB2312" w:hAnsi="仿宋_GB2312" w:eastAsia="仿宋_GB2312" w:cs="仿宋_GB2312"/>
          <w:strike w:val="0"/>
          <w:color w:val="auto"/>
          <w:sz w:val="32"/>
          <w:szCs w:val="32"/>
          <w:lang w:eastAsia="zh-CN"/>
        </w:rPr>
        <w:t>。</w:t>
      </w:r>
    </w:p>
    <w:p w14:paraId="595EC253">
      <w:pPr>
        <w:ind w:firstLine="640" w:firstLineChars="200"/>
        <w:rPr>
          <w:rFonts w:hint="eastAsia" w:ascii="仿宋_GB2312" w:hAnsi="仿宋_GB2312" w:eastAsia="仿宋_GB2312" w:cs="仿宋_GB2312"/>
          <w:strike w:val="0"/>
          <w:color w:val="auto"/>
          <w:sz w:val="32"/>
          <w:szCs w:val="32"/>
        </w:rPr>
      </w:pPr>
      <w:r>
        <w:rPr>
          <w:rFonts w:hint="eastAsia" w:ascii="仿宋_GB2312" w:hAnsi="仿宋_GB2312" w:eastAsia="仿宋_GB2312" w:cs="仿宋_GB2312"/>
          <w:strike w:val="0"/>
          <w:color w:val="auto"/>
          <w:sz w:val="32"/>
          <w:szCs w:val="32"/>
          <w:lang w:val="en-US" w:eastAsia="zh-CN"/>
        </w:rPr>
        <w:t>1.</w:t>
      </w:r>
      <w:r>
        <w:rPr>
          <w:rFonts w:hint="eastAsia" w:ascii="仿宋_GB2312" w:hAnsi="仿宋_GB2312" w:eastAsia="仿宋_GB2312" w:cs="仿宋_GB2312"/>
          <w:strike w:val="0"/>
          <w:color w:val="auto"/>
          <w:sz w:val="32"/>
          <w:szCs w:val="32"/>
        </w:rPr>
        <w:t>未来材料。发展高性能稀土磁性材料、高丰度稀土永磁材料、稀土发光材料、高性能稀土合金等，扩大以稀土功能材料和器件为主的应用产业规模；发展高性能钨基新材料和硬质合金产品开发及其应用，加强超细、超粗和超纯钨粉体、特殊结构钨铜合金等产品研发。推动先进铜功能材料集群建设，推进环保铜合金、稀土铜铁合金等先进铜功能材料生产关键技术及品种研发，不断延伸发展“电解铜-铜带、铜箔、铜线（杆）、铜管、铜合金-铜基功能性材料/结构性材料”产业链。推动瓷土矿、石灰石、硅灰石、黑滑石等特色矿产开发，拓宽特色矿产资源工业领域综合应用市场。</w:t>
      </w:r>
    </w:p>
    <w:p w14:paraId="601A6F1B">
      <w:pPr>
        <w:ind w:firstLine="640" w:firstLineChars="200"/>
        <w:rPr>
          <w:rFonts w:hint="eastAsia" w:ascii="仿宋_GB2312" w:hAnsi="仿宋_GB2312" w:eastAsia="仿宋_GB2312" w:cs="仿宋_GB2312"/>
          <w:strike w:val="0"/>
          <w:color w:val="auto"/>
          <w:sz w:val="32"/>
          <w:szCs w:val="32"/>
        </w:rPr>
      </w:pPr>
      <w:r>
        <w:rPr>
          <w:rFonts w:hint="eastAsia" w:ascii="仿宋_GB2312" w:hAnsi="仿宋_GB2312" w:eastAsia="仿宋_GB2312" w:cs="仿宋_GB2312"/>
          <w:strike w:val="0"/>
          <w:color w:val="auto"/>
          <w:sz w:val="32"/>
          <w:szCs w:val="32"/>
          <w:lang w:val="en-US" w:eastAsia="zh-CN"/>
        </w:rPr>
        <w:t>2.</w:t>
      </w:r>
      <w:r>
        <w:rPr>
          <w:rFonts w:hint="eastAsia" w:ascii="仿宋_GB2312" w:hAnsi="仿宋_GB2312" w:eastAsia="仿宋_GB2312" w:cs="仿宋_GB2312"/>
          <w:strike w:val="0"/>
          <w:color w:val="auto"/>
          <w:sz w:val="32"/>
          <w:szCs w:val="32"/>
        </w:rPr>
        <w:t>未来能源。发展高能量比、高可靠性的锂离子电池、固态电池、液流电池、钠离子电池、超级电容器等，推动新型储能高质量、规模化发展。探索智能微电网技术，加快建设培育与分布式新能源应用及区域智能微电网建设融合的新能源领域储能市场。培育氢能产业链，加速发展“绿氢”制取、储运和应用等技术装备。</w:t>
      </w:r>
    </w:p>
    <w:p w14:paraId="299A017E">
      <w:pPr>
        <w:ind w:firstLine="640" w:firstLineChars="200"/>
        <w:rPr>
          <w:rFonts w:hint="eastAsia" w:ascii="仿宋_GB2312" w:hAnsi="仿宋_GB2312" w:eastAsia="仿宋_GB2312" w:cs="仿宋_GB2312"/>
          <w:strike w:val="0"/>
          <w:color w:val="auto"/>
          <w:sz w:val="32"/>
          <w:szCs w:val="32"/>
        </w:rPr>
      </w:pPr>
      <w:r>
        <w:rPr>
          <w:rFonts w:hint="eastAsia" w:ascii="仿宋_GB2312" w:hAnsi="仿宋_GB2312" w:eastAsia="仿宋_GB2312" w:cs="仿宋_GB2312"/>
          <w:strike w:val="0"/>
          <w:color w:val="auto"/>
          <w:sz w:val="32"/>
          <w:szCs w:val="32"/>
          <w:lang w:val="en-US" w:eastAsia="zh-CN"/>
        </w:rPr>
        <w:t>3.</w:t>
      </w:r>
      <w:r>
        <w:rPr>
          <w:rFonts w:hint="eastAsia" w:ascii="仿宋_GB2312" w:hAnsi="仿宋_GB2312" w:eastAsia="仿宋_GB2312" w:cs="仿宋_GB2312"/>
          <w:strike w:val="0"/>
          <w:color w:val="auto"/>
          <w:sz w:val="32"/>
          <w:szCs w:val="32"/>
        </w:rPr>
        <w:t>未来生物。加快攻关合成生物学、基因编辑、脑科学、再生医学、血液制品、干细胞、生物质加工、智能微纳连续制造等核心技术，大力发展运动营养食品、健康糖、老年食品、特殊人群专用健康食品、特殊医学用途配方食品等。发挥生猪产业科技创新联合体作用，推动猪-狒狒异种移植产教融合实训基地建设，加强地方猪等遗传资源保护和开发利用，探索建设生物制造产业发展先导区。</w:t>
      </w:r>
    </w:p>
    <w:p w14:paraId="392B7F1F">
      <w:pPr>
        <w:ind w:firstLine="640" w:firstLineChars="200"/>
        <w:rPr>
          <w:rFonts w:hint="eastAsia" w:ascii="仿宋_GB2312" w:hAnsi="仿宋_GB2312" w:eastAsia="仿宋_GB2312" w:cs="仿宋_GB2312"/>
          <w:strike w:val="0"/>
          <w:color w:val="auto"/>
          <w:sz w:val="32"/>
          <w:szCs w:val="32"/>
        </w:rPr>
      </w:pPr>
      <w:r>
        <w:rPr>
          <w:rFonts w:hint="eastAsia" w:ascii="仿宋_GB2312" w:hAnsi="仿宋_GB2312" w:eastAsia="仿宋_GB2312" w:cs="仿宋_GB2312"/>
          <w:strike w:val="0"/>
          <w:color w:val="auto"/>
          <w:sz w:val="32"/>
          <w:szCs w:val="32"/>
          <w:lang w:val="en-US" w:eastAsia="zh-CN"/>
        </w:rPr>
        <w:t>4.</w:t>
      </w:r>
      <w:r>
        <w:rPr>
          <w:rFonts w:hint="eastAsia" w:ascii="仿宋_GB2312" w:hAnsi="仿宋_GB2312" w:eastAsia="仿宋_GB2312" w:cs="仿宋_GB2312"/>
          <w:strike w:val="0"/>
          <w:color w:val="auto"/>
          <w:sz w:val="32"/>
          <w:szCs w:val="32"/>
        </w:rPr>
        <w:t>未来健康。发展智能诊断、智能治疗、智能养老、智能健康服务等新业态、新模式。鼓励发展“互联网+健康”，推进互联网医院和“智慧医院”建设。推进AR/VR/MR、计算机可视化等技术在治疗规划、外科手术、微创介入、活检穿刺等环节的应用。积极稳妥推动核科技在医疗等民用领域的应用，着力构建先进完备的核医疗产业体系。</w:t>
      </w:r>
    </w:p>
    <w:p w14:paraId="77F23353">
      <w:pPr>
        <w:ind w:firstLine="640" w:firstLineChars="200"/>
        <w:rPr>
          <w:rFonts w:hint="eastAsia" w:ascii="仿宋_GB2312" w:hAnsi="仿宋_GB2312" w:eastAsia="仿宋_GB2312" w:cs="仿宋_GB2312"/>
          <w:strike w:val="0"/>
          <w:color w:val="auto"/>
          <w:sz w:val="32"/>
          <w:szCs w:val="32"/>
        </w:rPr>
      </w:pPr>
      <w:r>
        <w:rPr>
          <w:rFonts w:hint="eastAsia" w:ascii="仿宋_GB2312" w:hAnsi="仿宋_GB2312" w:eastAsia="仿宋_GB2312" w:cs="仿宋_GB2312"/>
          <w:strike w:val="0"/>
          <w:color w:val="auto"/>
          <w:sz w:val="32"/>
          <w:szCs w:val="32"/>
          <w:lang w:val="en-US" w:eastAsia="zh-CN"/>
        </w:rPr>
        <w:t>5.</w:t>
      </w:r>
      <w:r>
        <w:rPr>
          <w:rFonts w:hint="eastAsia" w:ascii="仿宋_GB2312" w:hAnsi="仿宋_GB2312" w:eastAsia="仿宋_GB2312" w:cs="仿宋_GB2312"/>
          <w:strike w:val="0"/>
          <w:color w:val="auto"/>
          <w:sz w:val="32"/>
          <w:szCs w:val="32"/>
        </w:rPr>
        <w:t>未来显示。发挥我省在电子、光学领域的技术研发优势，重点发展新型光电相关关键材料、功能性器件及材料、智能制造技术及设备等，推动硅衬底LED半导体照明、玻璃基板等新型电子元器件产业高端化发展,加快光学元件在新型显示上的应用，强化元宇宙领域硬件支撑。</w:t>
      </w:r>
    </w:p>
    <w:p w14:paraId="01C2CDF4">
      <w:pPr>
        <w:ind w:firstLine="640" w:firstLineChars="200"/>
      </w:pPr>
      <w:bookmarkStart w:id="0" w:name="_GoBack"/>
      <w:bookmarkEnd w:id="0"/>
      <w:r>
        <w:rPr>
          <w:rFonts w:hint="eastAsia" w:ascii="仿宋_GB2312" w:hAnsi="仿宋_GB2312" w:eastAsia="仿宋_GB2312" w:cs="仿宋_GB2312"/>
          <w:strike w:val="0"/>
          <w:color w:val="auto"/>
          <w:sz w:val="32"/>
          <w:szCs w:val="32"/>
          <w:lang w:val="en-US" w:eastAsia="zh-CN"/>
        </w:rPr>
        <w:t>6.</w:t>
      </w:r>
      <w:r>
        <w:rPr>
          <w:rFonts w:hint="eastAsia" w:ascii="仿宋_GB2312" w:hAnsi="仿宋_GB2312" w:eastAsia="仿宋_GB2312" w:cs="仿宋_GB2312"/>
          <w:strike w:val="0"/>
          <w:color w:val="auto"/>
          <w:sz w:val="32"/>
          <w:szCs w:val="32"/>
        </w:rPr>
        <w:t>未来航空。拓展大飞机部件、机身集成制造以及航空电子发展能力。突破垂直起降、短距离起降通用飞机，以及纯电动、混动通用飞机，智能无人机电机系统、飞控系统、低空智联网等技术，探索电动垂直起降飞行器（eVTOL）、智能无人机商业场景应用。抢抓低空经济发展机遇，以空域开放为保障，着力做强低空制造、丰富低空场景、提升低空设施、完善低空服务、优化低空生态。</w:t>
      </w:r>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6E8BCB"/>
    <w:multiLevelType w:val="singleLevel"/>
    <w:tmpl w:val="9E6E8BCB"/>
    <w:lvl w:ilvl="0" w:tentative="0">
      <w:start w:val="2"/>
      <w:numFmt w:val="chineseCounting"/>
      <w:suff w:val="nothing"/>
      <w:lvlText w:val="%1、"/>
      <w:lvlJc w:val="left"/>
      <w:rPr>
        <w:rFonts w:hint="eastAsia"/>
      </w:rPr>
    </w:lvl>
  </w:abstractNum>
  <w:abstractNum w:abstractNumId="1">
    <w:nsid w:val="23C1904D"/>
    <w:multiLevelType w:val="singleLevel"/>
    <w:tmpl w:val="23C1904D"/>
    <w:lvl w:ilvl="0" w:tentative="0">
      <w:start w:val="12"/>
      <w:numFmt w:val="chineseCounting"/>
      <w:suff w:val="nothing"/>
      <w:lvlText w:val="%1、"/>
      <w:lvlJc w:val="left"/>
      <w:rPr>
        <w:rFonts w:hint="eastAsia"/>
      </w:rPr>
    </w:lvl>
  </w:abstractNum>
  <w:abstractNum w:abstractNumId="2">
    <w:nsid w:val="4CD20261"/>
    <w:multiLevelType w:val="singleLevel"/>
    <w:tmpl w:val="4CD20261"/>
    <w:lvl w:ilvl="0" w:tentative="0">
      <w:start w:val="6"/>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2D6AAA"/>
    <w:rsid w:val="1DEC1F22"/>
    <w:rsid w:val="565F0858"/>
    <w:rsid w:val="5D2D6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2026-03-30T10:22:00Z</dcterms:created>
  <dc:creator>空留</dc:creator>
  <cp:lastModifiedBy>空留</cp:lastModifiedBy>
  <dcterms:modified xsi:type="dcterms:W3CDTF">2026-03-30T10:23:39Z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B8CE0037755141FF86ADA9E030B30F7D_11</vt:lpwstr>
  </property>
  <property fmtid="{D5CDD505-2E9C-101B-9397-08002B2CF9AE}" pid="4" name="KSOTemplateDocerSaveRecord">
    <vt:lpwstr>eyJoZGlkIjoiMDEzZTE4OGZjMTA1YTQyNTVjZTRkZTliN2VkODYxZjAiLCJ1c2VySWQiOiIzOTkwMjY0NzAifQ==</vt:lpwstr>
  </property>
</Properties>
</file>